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widowControl w:val="0"/>
        <w:wordWrap/>
        <w:adjustRightInd/>
        <w:snapToGrid/>
        <w:spacing w:before="0" w:after="0" w:line="760" w:lineRule="exact"/>
        <w:ind w:left="0" w:leftChars="0" w:right="0" w:firstLine="0" w:firstLineChars="0"/>
        <w:jc w:val="center"/>
        <w:textAlignment w:val="auto"/>
        <w:outlineLvl w:val="9"/>
        <w:rPr>
          <w:rFonts w:hint="eastAsia" w:ascii="宋体" w:hAnsi="宋体"/>
        </w:rPr>
      </w:pPr>
    </w:p>
    <w:p>
      <w:pPr>
        <w:pStyle w:val="3"/>
        <w:widowControl w:val="0"/>
        <w:wordWrap/>
        <w:adjustRightInd/>
        <w:snapToGrid/>
        <w:spacing w:before="0" w:after="0" w:line="760" w:lineRule="exact"/>
        <w:ind w:left="0" w:leftChars="0" w:right="0" w:firstLine="0" w:firstLineChars="0"/>
        <w:jc w:val="center"/>
        <w:textAlignment w:val="auto"/>
        <w:outlineLvl w:val="9"/>
        <w:rPr>
          <w:rFonts w:hint="eastAsia" w:ascii="宋体" w:hAnsi="宋体"/>
        </w:rPr>
      </w:pPr>
    </w:p>
    <w:p>
      <w:pPr>
        <w:pStyle w:val="3"/>
        <w:ind w:firstLine="0" w:firstLineChars="0"/>
        <w:jc w:val="center"/>
        <w:rPr>
          <w:rFonts w:hint="eastAsia" w:ascii="宋体" w:hAnsi="宋体"/>
          <w:sz w:val="128"/>
          <w:szCs w:val="128"/>
        </w:rPr>
      </w:pPr>
      <w:r>
        <w:rPr>
          <w:rFonts w:hint="eastAsia" w:ascii="方正小标宋简体" w:hAnsi="华文中宋" w:eastAsia="方正小标宋简体" w:cs="方正小标宋简体"/>
          <w:b/>
          <w:color w:val="FF0000"/>
          <w:spacing w:val="8"/>
          <w:w w:val="50"/>
          <w:kern w:val="10"/>
          <w:sz w:val="112"/>
          <w:szCs w:val="112"/>
        </w:rPr>
        <w:t>上饶市</w:t>
      </w:r>
      <w:r>
        <w:rPr>
          <w:rFonts w:hint="eastAsia" w:ascii="方正小标宋简体" w:hAnsi="华文中宋" w:eastAsia="方正小标宋简体" w:cs="方正小标宋简体"/>
          <w:b/>
          <w:color w:val="FF0000"/>
          <w:spacing w:val="8"/>
          <w:w w:val="50"/>
          <w:kern w:val="10"/>
          <w:sz w:val="112"/>
          <w:szCs w:val="112"/>
          <w:lang w:eastAsia="zh-CN"/>
        </w:rPr>
        <w:t>信州区人民政府办公室文件</w:t>
      </w:r>
    </w:p>
    <w:p>
      <w:pPr>
        <w:pStyle w:val="3"/>
        <w:widowControl w:val="0"/>
        <w:wordWrap/>
        <w:adjustRightInd/>
        <w:snapToGrid/>
        <w:spacing w:before="0" w:after="0" w:line="760" w:lineRule="exact"/>
        <w:ind w:left="0" w:leftChars="0" w:right="0" w:firstLine="0" w:firstLineChars="0"/>
        <w:jc w:val="center"/>
        <w:textAlignment w:val="auto"/>
        <w:outlineLvl w:val="9"/>
        <w:rPr>
          <w:rFonts w:hint="eastAsia" w:ascii="宋体" w:hAnsi="宋体"/>
        </w:rPr>
      </w:pPr>
    </w:p>
    <w:p>
      <w:pPr>
        <w:spacing w:afterLines="50" w:line="580" w:lineRule="exact"/>
        <w:jc w:val="center"/>
        <w:rPr>
          <w:rFonts w:hint="default" w:ascii="宋体" w:hAnsi="宋体" w:eastAsia="仿宋_GB2312"/>
          <w:sz w:val="32"/>
          <w:szCs w:val="32"/>
          <w:lang w:val="en-US" w:eastAsia="zh-CN"/>
        </w:rPr>
      </w:pPr>
      <w:bookmarkStart w:id="0" w:name="documentnum"/>
      <w:bookmarkEnd w:id="0"/>
      <w:r>
        <w:rPr>
          <w:rFonts w:hint="eastAsia" w:ascii="宋体" w:hAnsi="宋体" w:eastAsia="仿宋_GB2312"/>
          <w:sz w:val="32"/>
          <w:szCs w:val="32"/>
          <w:lang w:val="en-US" w:eastAsia="zh-CN"/>
        </w:rPr>
        <w:t>饶信府办发</w:t>
      </w:r>
      <w:r>
        <w:rPr>
          <w:rFonts w:hint="eastAsia" w:ascii="宋体" w:hAnsi="宋体" w:eastAsia="宋体" w:cs="宋体"/>
          <w:sz w:val="32"/>
          <w:szCs w:val="32"/>
          <w:lang w:val="en-US" w:eastAsia="zh-CN"/>
        </w:rPr>
        <w:t>〔</w:t>
      </w:r>
      <w:r>
        <w:rPr>
          <w:rFonts w:hint="eastAsia" w:ascii="宋体" w:hAnsi="宋体" w:eastAsia="仿宋_GB2312"/>
          <w:sz w:val="32"/>
          <w:szCs w:val="32"/>
          <w:lang w:val="en-US" w:eastAsia="zh-CN"/>
        </w:rPr>
        <w:t>2021</w:t>
      </w:r>
      <w:r>
        <w:rPr>
          <w:rFonts w:hint="eastAsia" w:ascii="宋体" w:hAnsi="宋体" w:eastAsia="宋体" w:cs="宋体"/>
          <w:sz w:val="32"/>
          <w:szCs w:val="32"/>
          <w:lang w:val="en-US" w:eastAsia="zh-CN"/>
        </w:rPr>
        <w:t>〕</w:t>
      </w:r>
      <w:r>
        <w:rPr>
          <w:rFonts w:hint="eastAsia" w:ascii="宋体" w:hAnsi="宋体" w:eastAsia="仿宋_GB2312"/>
          <w:sz w:val="32"/>
          <w:szCs w:val="32"/>
          <w:lang w:val="en-US" w:eastAsia="zh-CN"/>
        </w:rPr>
        <w:t>3号</w:t>
      </w:r>
    </w:p>
    <w:p>
      <w:pPr>
        <w:adjustRightInd w:val="0"/>
        <w:snapToGrid w:val="0"/>
        <w:spacing w:line="560" w:lineRule="exact"/>
        <w:jc w:val="center"/>
        <w:rPr>
          <w:rFonts w:hint="eastAsia" w:ascii="宋体" w:hAnsi="宋体"/>
          <w:b/>
          <w:sz w:val="44"/>
          <w:szCs w:val="44"/>
        </w:rPr>
      </w:pPr>
      <w:r>
        <w:rPr>
          <w:rFonts w:hint="eastAsia" w:ascii="宋体" w:hAnsi="宋体" w:eastAsia="宋体" w:cs="Times New Roman"/>
          <w:b/>
          <w:kern w:val="2"/>
          <w:sz w:val="44"/>
          <w:szCs w:val="44"/>
          <w:lang w:val="en-US" w:eastAsia="zh-CN" w:bidi="ar-SA"/>
        </w:rPr>
        <w:pict>
          <v:line id="_x0000_s1030" o:spid="_x0000_s1027" style="position:absolute;left:0;margin-left:0pt;margin-top:1.25pt;height:0.05pt;width:441pt;rotation:0f;z-index:251661312;" o:ole="f" fillcolor="#FFFFFF" filled="f" o:preferrelative="t" stroked="t" coordsize="21600,21600">
            <v:fill on="f" color2="#FFFFFF" focus="0%"/>
            <v:stroke weight="1.42pt" color="#FF0000" color2="#FFFFFF" miterlimit="2"/>
            <v:imagedata gain="65536f" blacklevel="0f" gamma="0"/>
            <o:lock v:ext="edit" position="f" selection="f" grouping="f" rotation="f" cropping="f" text="f" aspectratio="f"/>
          </v:line>
        </w:pict>
      </w:r>
    </w:p>
    <w:p>
      <w:pPr>
        <w:widowControl/>
        <w:wordWrap/>
        <w:adjustRightInd/>
        <w:snapToGrid/>
        <w:spacing w:before="0" w:beforeAutospacing="0" w:after="0" w:afterAutospacing="0" w:line="560" w:lineRule="exact"/>
        <w:jc w:val="center"/>
        <w:textAlignment w:val="baseline"/>
        <w:rPr>
          <w:rStyle w:val="9"/>
          <w:rFonts w:hint="eastAsia" w:ascii="方正小标宋简体" w:hAnsi="方正小标宋简体" w:eastAsia="方正小标宋简体" w:cs="方正小标宋简体"/>
          <w:b w:val="0"/>
          <w:bCs/>
          <w:i w:val="0"/>
          <w:caps w:val="0"/>
          <w:spacing w:val="0"/>
          <w:w w:val="100"/>
          <w:kern w:val="0"/>
          <w:sz w:val="44"/>
          <w:szCs w:val="44"/>
          <w:lang w:val="en-US" w:eastAsia="zh-CN" w:bidi="ar-SA"/>
        </w:rPr>
      </w:pPr>
      <w:r>
        <w:rPr>
          <w:rStyle w:val="9"/>
          <w:rFonts w:hint="eastAsia" w:ascii="方正小标宋简体" w:hAnsi="方正小标宋简体" w:eastAsia="方正小标宋简体" w:cs="方正小标宋简体"/>
          <w:b w:val="0"/>
          <w:bCs/>
          <w:i w:val="0"/>
          <w:caps w:val="0"/>
          <w:spacing w:val="0"/>
          <w:w w:val="100"/>
          <w:kern w:val="0"/>
          <w:sz w:val="44"/>
          <w:szCs w:val="44"/>
          <w:lang w:val="en-US" w:eastAsia="zh-CN" w:bidi="ar-SA"/>
        </w:rPr>
        <w:t>上饶市信州区人民政府办公室关于</w:t>
      </w:r>
    </w:p>
    <w:p>
      <w:pPr>
        <w:widowControl/>
        <w:wordWrap/>
        <w:adjustRightInd/>
        <w:snapToGrid/>
        <w:spacing w:before="0" w:beforeAutospacing="0" w:after="0" w:afterAutospacing="0" w:line="560" w:lineRule="exact"/>
        <w:jc w:val="center"/>
        <w:textAlignment w:val="baseline"/>
        <w:rPr>
          <w:rStyle w:val="9"/>
          <w:rFonts w:hint="default" w:ascii="方正小标宋简体" w:hAnsi="方正小标宋简体" w:eastAsia="方正小标宋简体" w:cs="方正小标宋简体"/>
          <w:b w:val="0"/>
          <w:bCs/>
          <w:i w:val="0"/>
          <w:caps w:val="0"/>
          <w:spacing w:val="0"/>
          <w:w w:val="100"/>
          <w:kern w:val="0"/>
          <w:sz w:val="44"/>
          <w:szCs w:val="44"/>
          <w:lang w:val="en-US" w:eastAsia="zh-CN" w:bidi="ar-SA"/>
        </w:rPr>
      </w:pPr>
      <w:r>
        <w:rPr>
          <w:rStyle w:val="9"/>
          <w:rFonts w:hint="eastAsia" w:ascii="方正小标宋简体" w:hAnsi="方正小标宋简体" w:eastAsia="方正小标宋简体" w:cs="方正小标宋简体"/>
          <w:b w:val="0"/>
          <w:bCs/>
          <w:i w:val="0"/>
          <w:caps w:val="0"/>
          <w:spacing w:val="0"/>
          <w:w w:val="100"/>
          <w:kern w:val="0"/>
          <w:sz w:val="44"/>
          <w:szCs w:val="44"/>
          <w:lang w:val="en-US" w:eastAsia="zh-CN" w:bidi="ar-SA"/>
        </w:rPr>
        <w:t>印发信州区</w:t>
      </w:r>
      <w:r>
        <w:rPr>
          <w:rStyle w:val="9"/>
          <w:rFonts w:hint="eastAsia" w:ascii="方正小标宋简体" w:hAnsi="方正小标宋简体" w:eastAsia="方正小标宋简体" w:cs="方正小标宋简体"/>
          <w:b w:val="0"/>
          <w:bCs/>
          <w:i w:val="0"/>
          <w:caps w:val="0"/>
          <w:color w:val="333333"/>
          <w:spacing w:val="0"/>
          <w:w w:val="100"/>
          <w:kern w:val="36"/>
          <w:sz w:val="44"/>
          <w:szCs w:val="44"/>
          <w:lang w:val="en-US" w:eastAsia="zh-CN" w:bidi="ar-SA"/>
        </w:rPr>
        <w:t>鼓励和加快</w:t>
      </w:r>
      <w:r>
        <w:rPr>
          <w:rStyle w:val="9"/>
          <w:rFonts w:hint="eastAsia" w:ascii="方正小标宋简体" w:hAnsi="方正小标宋简体" w:eastAsia="方正小标宋简体" w:cs="方正小标宋简体"/>
          <w:b w:val="0"/>
          <w:bCs/>
          <w:i w:val="0"/>
          <w:caps w:val="0"/>
          <w:spacing w:val="0"/>
          <w:w w:val="100"/>
          <w:kern w:val="0"/>
          <w:sz w:val="44"/>
          <w:szCs w:val="44"/>
          <w:lang w:val="en-US" w:eastAsia="zh-CN" w:bidi="ar-SA"/>
        </w:rPr>
        <w:t>限额以上商贸流通企业发展实施意见的通知</w:t>
      </w:r>
    </w:p>
    <w:p>
      <w:pPr>
        <w:widowControl/>
        <w:wordWrap/>
        <w:adjustRightInd/>
        <w:snapToGrid/>
        <w:spacing w:before="0" w:beforeAutospacing="0" w:after="0" w:afterAutospacing="0" w:line="560" w:lineRule="exact"/>
        <w:jc w:val="left"/>
        <w:textAlignment w:val="baseline"/>
        <w:rPr>
          <w:rStyle w:val="9"/>
          <w:rFonts w:hint="default" w:ascii="仿宋_GB2312" w:hAnsi="仿宋_GB2312" w:eastAsia="仿宋_GB2312" w:cs="仿宋_GB2312"/>
          <w:b w:val="0"/>
          <w:bCs/>
          <w:i w:val="0"/>
          <w:caps w:val="0"/>
          <w:spacing w:val="0"/>
          <w:w w:val="100"/>
          <w:kern w:val="0"/>
          <w:sz w:val="32"/>
          <w:szCs w:val="32"/>
          <w:lang w:val="en-US" w:eastAsia="zh-CN" w:bidi="ar-SA"/>
        </w:rPr>
      </w:pPr>
    </w:p>
    <w:p>
      <w:pPr>
        <w:widowControl/>
        <w:wordWrap/>
        <w:adjustRightInd/>
        <w:snapToGrid/>
        <w:spacing w:before="0" w:beforeAutospacing="0" w:after="0" w:afterAutospacing="0" w:line="560" w:lineRule="exact"/>
        <w:jc w:val="left"/>
        <w:textAlignment w:val="baseline"/>
        <w:rPr>
          <w:rStyle w:val="9"/>
          <w:rFonts w:hint="default" w:ascii="仿宋_GB2312" w:hAnsi="仿宋_GB2312" w:eastAsia="仿宋_GB2312" w:cs="仿宋_GB2312"/>
          <w:b w:val="0"/>
          <w:bCs/>
          <w:i w:val="0"/>
          <w:caps w:val="0"/>
          <w:spacing w:val="0"/>
          <w:w w:val="100"/>
          <w:kern w:val="0"/>
          <w:sz w:val="32"/>
          <w:szCs w:val="32"/>
          <w:lang w:val="en-US" w:eastAsia="zh-CN" w:bidi="ar-SA"/>
        </w:rPr>
      </w:pPr>
      <w:r>
        <w:rPr>
          <w:rStyle w:val="9"/>
          <w:rFonts w:hint="eastAsia" w:ascii="仿宋_GB2312" w:hAnsi="仿宋_GB2312" w:eastAsia="仿宋_GB2312" w:cs="仿宋_GB2312"/>
          <w:b w:val="0"/>
          <w:bCs/>
          <w:i w:val="0"/>
          <w:caps w:val="0"/>
          <w:spacing w:val="0"/>
          <w:w w:val="100"/>
          <w:kern w:val="0"/>
          <w:sz w:val="32"/>
          <w:szCs w:val="32"/>
          <w:lang w:val="en-US" w:eastAsia="zh-CN" w:bidi="ar-SA"/>
        </w:rPr>
        <w:t>各镇人民政府、街道办事处，区政府有关部门：</w:t>
      </w:r>
    </w:p>
    <w:p>
      <w:pPr>
        <w:widowControl/>
        <w:wordWrap/>
        <w:adjustRightInd/>
        <w:snapToGrid/>
        <w:spacing w:before="0" w:beforeAutospacing="0" w:after="0" w:afterAutospacing="0" w:line="560" w:lineRule="exact"/>
        <w:ind w:firstLine="640" w:firstLineChars="200"/>
        <w:jc w:val="left"/>
        <w:textAlignment w:val="baseline"/>
        <w:rPr>
          <w:rStyle w:val="9"/>
          <w:rFonts w:hint="eastAsia" w:ascii="仿宋_GB2312" w:hAnsi="仿宋_GB2312" w:eastAsia="仿宋_GB2312" w:cs="仿宋_GB2312"/>
          <w:b w:val="0"/>
          <w:bCs/>
          <w:i w:val="0"/>
          <w:caps w:val="0"/>
          <w:spacing w:val="0"/>
          <w:w w:val="100"/>
          <w:kern w:val="0"/>
          <w:sz w:val="32"/>
          <w:szCs w:val="32"/>
          <w:lang w:val="en-US" w:eastAsia="zh-CN" w:bidi="ar-SA"/>
        </w:rPr>
      </w:pPr>
      <w:r>
        <w:rPr>
          <w:rFonts w:ascii="仿宋_GB2312" w:hAnsi="仿宋_GB2312" w:eastAsia="仿宋_GB2312" w:cs="仿宋_GB2312"/>
          <w:i w:val="0"/>
          <w:caps w:val="0"/>
          <w:color w:val="333333"/>
          <w:spacing w:val="0"/>
          <w:sz w:val="32"/>
          <w:szCs w:val="32"/>
          <w:shd w:val="clear" w:color="070000" w:fill="FFFFFF"/>
        </w:rPr>
        <w:t>《</w:t>
      </w:r>
      <w:r>
        <w:rPr>
          <w:rFonts w:hint="eastAsia" w:ascii="仿宋_GB2312" w:hAnsi="仿宋_GB2312" w:eastAsia="仿宋_GB2312" w:cs="仿宋_GB2312"/>
          <w:i w:val="0"/>
          <w:caps w:val="0"/>
          <w:color w:val="333333"/>
          <w:spacing w:val="0"/>
          <w:sz w:val="32"/>
          <w:szCs w:val="32"/>
          <w:shd w:val="clear" w:color="070000" w:fill="FFFFFF"/>
          <w:lang w:val="en-US" w:eastAsia="zh-CN"/>
        </w:rPr>
        <w:t>信州区鼓励和加快限额以上商贸流通企业发展实施意见</w:t>
      </w:r>
      <w:r>
        <w:rPr>
          <w:rFonts w:ascii="仿宋_GB2312" w:hAnsi="仿宋_GB2312" w:eastAsia="仿宋_GB2312" w:cs="仿宋_GB2312"/>
          <w:i w:val="0"/>
          <w:caps w:val="0"/>
          <w:color w:val="333333"/>
          <w:spacing w:val="0"/>
          <w:sz w:val="32"/>
          <w:szCs w:val="32"/>
          <w:shd w:val="clear" w:color="070000" w:fill="FFFFFF"/>
        </w:rPr>
        <w:t>》已经</w:t>
      </w:r>
      <w:r>
        <w:rPr>
          <w:rFonts w:hint="eastAsia" w:ascii="仿宋_GB2312" w:hAnsi="仿宋_GB2312" w:eastAsia="仿宋_GB2312" w:cs="仿宋_GB2312"/>
          <w:i w:val="0"/>
          <w:caps w:val="0"/>
          <w:color w:val="333333"/>
          <w:spacing w:val="0"/>
          <w:sz w:val="32"/>
          <w:szCs w:val="32"/>
          <w:shd w:val="clear" w:color="070000" w:fill="FFFFFF"/>
          <w:lang w:val="en-US" w:eastAsia="zh-CN"/>
        </w:rPr>
        <w:t>区</w:t>
      </w:r>
      <w:r>
        <w:rPr>
          <w:rFonts w:ascii="仿宋_GB2312" w:hAnsi="仿宋_GB2312" w:eastAsia="仿宋_GB2312" w:cs="仿宋_GB2312"/>
          <w:i w:val="0"/>
          <w:caps w:val="0"/>
          <w:color w:val="333333"/>
          <w:spacing w:val="0"/>
          <w:sz w:val="32"/>
          <w:szCs w:val="32"/>
          <w:shd w:val="clear" w:color="070000" w:fill="FFFFFF"/>
        </w:rPr>
        <w:t>政府第</w:t>
      </w:r>
      <w:r>
        <w:rPr>
          <w:rFonts w:hint="eastAsia" w:ascii="仿宋_GB2312" w:hAnsi="仿宋_GB2312" w:eastAsia="仿宋_GB2312" w:cs="仿宋_GB2312"/>
          <w:i w:val="0"/>
          <w:caps w:val="0"/>
          <w:color w:val="333333"/>
          <w:spacing w:val="0"/>
          <w:sz w:val="32"/>
          <w:szCs w:val="32"/>
          <w:shd w:val="clear" w:color="070000" w:fill="FFFFFF"/>
          <w:lang w:val="en-US" w:eastAsia="zh-CN"/>
        </w:rPr>
        <w:t>70</w:t>
      </w:r>
      <w:r>
        <w:rPr>
          <w:rFonts w:ascii="仿宋_GB2312" w:hAnsi="仿宋_GB2312" w:eastAsia="仿宋_GB2312" w:cs="仿宋_GB2312"/>
          <w:i w:val="0"/>
          <w:caps w:val="0"/>
          <w:color w:val="333333"/>
          <w:spacing w:val="0"/>
          <w:sz w:val="32"/>
          <w:szCs w:val="32"/>
          <w:shd w:val="clear" w:color="070000" w:fill="FFFFFF"/>
        </w:rPr>
        <w:t>次常务会议审定，现印发给你们，请结合具体工作要求，抓好贯彻执行。</w:t>
      </w:r>
    </w:p>
    <w:p>
      <w:pPr>
        <w:widowControl/>
        <w:wordWrap/>
        <w:adjustRightInd/>
        <w:snapToGrid/>
        <w:spacing w:before="0" w:beforeAutospacing="0" w:after="0" w:afterAutospacing="0" w:line="560" w:lineRule="exact"/>
        <w:jc w:val="left"/>
        <w:textAlignment w:val="baseline"/>
        <w:rPr>
          <w:rStyle w:val="9"/>
          <w:rFonts w:hint="eastAsia" w:ascii="仿宋_GB2312" w:hAnsi="仿宋_GB2312" w:eastAsia="仿宋_GB2312" w:cs="仿宋_GB2312"/>
          <w:b w:val="0"/>
          <w:bCs/>
          <w:i w:val="0"/>
          <w:caps w:val="0"/>
          <w:spacing w:val="0"/>
          <w:w w:val="100"/>
          <w:kern w:val="0"/>
          <w:sz w:val="32"/>
          <w:szCs w:val="32"/>
          <w:lang w:val="en-US" w:eastAsia="zh-CN" w:bidi="ar-SA"/>
        </w:rPr>
      </w:pPr>
    </w:p>
    <w:p>
      <w:pPr>
        <w:widowControl/>
        <w:wordWrap/>
        <w:adjustRightInd/>
        <w:snapToGrid/>
        <w:spacing w:before="0" w:beforeAutospacing="0" w:after="0" w:afterAutospacing="0" w:line="560" w:lineRule="exact"/>
        <w:jc w:val="left"/>
        <w:textAlignment w:val="baseline"/>
        <w:rPr>
          <w:rStyle w:val="9"/>
          <w:rFonts w:hint="eastAsia" w:ascii="仿宋_GB2312" w:hAnsi="仿宋_GB2312" w:eastAsia="仿宋_GB2312" w:cs="仿宋_GB2312"/>
          <w:b w:val="0"/>
          <w:bCs/>
          <w:i w:val="0"/>
          <w:caps w:val="0"/>
          <w:spacing w:val="0"/>
          <w:w w:val="100"/>
          <w:kern w:val="0"/>
          <w:sz w:val="32"/>
          <w:szCs w:val="32"/>
          <w:lang w:val="en-US" w:eastAsia="zh-CN" w:bidi="ar-SA"/>
        </w:rPr>
      </w:pPr>
    </w:p>
    <w:p>
      <w:pPr>
        <w:widowControl/>
        <w:wordWrap/>
        <w:adjustRightInd/>
        <w:snapToGrid/>
        <w:spacing w:before="0" w:beforeAutospacing="0" w:after="0" w:afterAutospacing="0" w:line="560" w:lineRule="exact"/>
        <w:ind w:firstLine="3840" w:firstLineChars="1200"/>
        <w:jc w:val="left"/>
        <w:textAlignment w:val="baseline"/>
        <w:rPr>
          <w:rStyle w:val="9"/>
          <w:rFonts w:hint="eastAsia" w:ascii="仿宋_GB2312" w:hAnsi="仿宋_GB2312" w:eastAsia="仿宋_GB2312" w:cs="仿宋_GB2312"/>
          <w:b w:val="0"/>
          <w:bCs/>
          <w:i w:val="0"/>
          <w:caps w:val="0"/>
          <w:spacing w:val="0"/>
          <w:w w:val="100"/>
          <w:kern w:val="0"/>
          <w:sz w:val="32"/>
          <w:szCs w:val="32"/>
          <w:lang w:val="en-US" w:eastAsia="zh-CN" w:bidi="ar-SA"/>
        </w:rPr>
      </w:pPr>
      <w:r>
        <w:rPr>
          <w:rStyle w:val="9"/>
          <w:rFonts w:hint="eastAsia" w:ascii="仿宋_GB2312" w:hAnsi="仿宋_GB2312" w:eastAsia="仿宋_GB2312" w:cs="仿宋_GB2312"/>
          <w:b w:val="0"/>
          <w:bCs/>
          <w:i w:val="0"/>
          <w:caps w:val="0"/>
          <w:spacing w:val="0"/>
          <w:w w:val="100"/>
          <w:kern w:val="0"/>
          <w:sz w:val="32"/>
          <w:szCs w:val="32"/>
          <w:lang w:val="en-US" w:eastAsia="zh-CN" w:bidi="ar-SA"/>
        </w:rPr>
        <w:t>上饶市信州区人民政府办公室</w:t>
      </w:r>
    </w:p>
    <w:p>
      <w:pPr>
        <w:widowControl/>
        <w:wordWrap/>
        <w:adjustRightInd/>
        <w:snapToGrid/>
        <w:spacing w:before="0" w:beforeAutospacing="0" w:after="0" w:afterAutospacing="0" w:line="560" w:lineRule="exact"/>
        <w:ind w:firstLine="4800" w:firstLineChars="1500"/>
        <w:jc w:val="left"/>
        <w:textAlignment w:val="baseline"/>
        <w:rPr>
          <w:rStyle w:val="9"/>
          <w:rFonts w:hint="default" w:ascii="仿宋_GB2312" w:hAnsi="仿宋_GB2312" w:eastAsia="仿宋_GB2312" w:cs="仿宋_GB2312"/>
          <w:b w:val="0"/>
          <w:bCs/>
          <w:i w:val="0"/>
          <w:caps w:val="0"/>
          <w:spacing w:val="0"/>
          <w:w w:val="100"/>
          <w:kern w:val="0"/>
          <w:sz w:val="32"/>
          <w:szCs w:val="32"/>
          <w:lang w:val="en-US" w:eastAsia="zh-CN" w:bidi="ar-SA"/>
        </w:rPr>
      </w:pPr>
      <w:r>
        <w:rPr>
          <w:rStyle w:val="9"/>
          <w:rFonts w:hint="eastAsia" w:ascii="仿宋_GB2312" w:hAnsi="仿宋_GB2312" w:eastAsia="仿宋_GB2312" w:cs="仿宋_GB2312"/>
          <w:b w:val="0"/>
          <w:bCs/>
          <w:i w:val="0"/>
          <w:caps w:val="0"/>
          <w:spacing w:val="0"/>
          <w:w w:val="100"/>
          <w:kern w:val="0"/>
          <w:sz w:val="32"/>
          <w:szCs w:val="32"/>
          <w:lang w:val="en-US" w:eastAsia="zh-CN" w:bidi="ar-SA"/>
        </w:rPr>
        <w:t>2021年2月4日</w:t>
      </w:r>
    </w:p>
    <w:p>
      <w:pPr>
        <w:widowControl/>
        <w:wordWrap/>
        <w:adjustRightInd/>
        <w:snapToGrid/>
        <w:spacing w:before="0" w:beforeAutospacing="0" w:after="0" w:afterAutospacing="0" w:line="560" w:lineRule="exact"/>
        <w:jc w:val="left"/>
        <w:textAlignment w:val="baseline"/>
        <w:rPr>
          <w:rStyle w:val="9"/>
          <w:rFonts w:hint="eastAsia" w:ascii="仿宋_GB2312" w:hAnsi="仿宋_GB2312" w:eastAsia="仿宋_GB2312" w:cs="仿宋_GB2312"/>
          <w:b w:val="0"/>
          <w:bCs/>
          <w:i w:val="0"/>
          <w:caps w:val="0"/>
          <w:spacing w:val="0"/>
          <w:w w:val="100"/>
          <w:kern w:val="0"/>
          <w:sz w:val="32"/>
          <w:szCs w:val="32"/>
          <w:lang w:val="en-US" w:eastAsia="zh-CN" w:bidi="ar-SA"/>
        </w:rPr>
      </w:pPr>
      <w:r>
        <w:rPr>
          <w:rFonts w:ascii="仿宋_GB2312" w:hAnsi="仿宋_GB2312" w:eastAsia="仿宋_GB2312" w:cs="仿宋_GB2312"/>
          <w:i w:val="0"/>
          <w:caps w:val="0"/>
          <w:color w:val="333333"/>
          <w:spacing w:val="0"/>
          <w:sz w:val="32"/>
          <w:szCs w:val="32"/>
          <w:shd w:val="clear" w:color="070000" w:fill="FFFFFF"/>
        </w:rPr>
        <w:t>（此件主动公开）</w:t>
      </w:r>
    </w:p>
    <w:p>
      <w:pPr>
        <w:widowControl/>
        <w:wordWrap/>
        <w:adjustRightInd/>
        <w:snapToGrid/>
        <w:spacing w:before="0" w:beforeAutospacing="0" w:after="0" w:afterAutospacing="0" w:line="540" w:lineRule="exact"/>
        <w:jc w:val="center"/>
        <w:textAlignment w:val="baseline"/>
        <w:rPr>
          <w:rStyle w:val="9"/>
          <w:rFonts w:hint="eastAsia" w:ascii="黑体" w:hAnsi="黑体" w:eastAsia="黑体" w:cs="黑体"/>
          <w:b w:val="0"/>
          <w:bCs/>
          <w:i w:val="0"/>
          <w:caps w:val="0"/>
          <w:spacing w:val="0"/>
          <w:w w:val="100"/>
          <w:kern w:val="0"/>
          <w:sz w:val="44"/>
          <w:szCs w:val="44"/>
          <w:lang w:val="en-US" w:eastAsia="zh-CN" w:bidi="ar-SA"/>
        </w:rPr>
      </w:pPr>
      <w:r>
        <w:rPr>
          <w:rStyle w:val="9"/>
          <w:rFonts w:hint="eastAsia" w:ascii="黑体" w:hAnsi="黑体" w:eastAsia="黑体" w:cs="黑体"/>
          <w:b w:val="0"/>
          <w:bCs/>
          <w:i w:val="0"/>
          <w:caps w:val="0"/>
          <w:spacing w:val="0"/>
          <w:w w:val="100"/>
          <w:kern w:val="0"/>
          <w:sz w:val="44"/>
          <w:szCs w:val="44"/>
          <w:lang w:val="en-US" w:eastAsia="zh-CN" w:bidi="ar-SA"/>
        </w:rPr>
        <w:t>信州区</w:t>
      </w:r>
      <w:r>
        <w:rPr>
          <w:rStyle w:val="9"/>
          <w:rFonts w:hint="eastAsia" w:ascii="黑体" w:hAnsi="黑体" w:eastAsia="黑体" w:cs="黑体"/>
          <w:b w:val="0"/>
          <w:bCs/>
          <w:i w:val="0"/>
          <w:caps w:val="0"/>
          <w:color w:val="333333"/>
          <w:spacing w:val="0"/>
          <w:w w:val="100"/>
          <w:kern w:val="36"/>
          <w:sz w:val="44"/>
          <w:szCs w:val="44"/>
          <w:lang w:val="en-US" w:eastAsia="zh-CN" w:bidi="ar-SA"/>
        </w:rPr>
        <w:t>鼓励和加快</w:t>
      </w:r>
      <w:r>
        <w:rPr>
          <w:rStyle w:val="9"/>
          <w:rFonts w:hint="eastAsia" w:ascii="黑体" w:hAnsi="黑体" w:eastAsia="黑体" w:cs="黑体"/>
          <w:b w:val="0"/>
          <w:bCs/>
          <w:i w:val="0"/>
          <w:caps w:val="0"/>
          <w:spacing w:val="0"/>
          <w:w w:val="100"/>
          <w:kern w:val="0"/>
          <w:sz w:val="44"/>
          <w:szCs w:val="44"/>
          <w:lang w:val="en-US" w:eastAsia="zh-CN" w:bidi="ar-SA"/>
        </w:rPr>
        <w:t>限额以上商贸流通企业</w:t>
      </w:r>
    </w:p>
    <w:p>
      <w:pPr>
        <w:widowControl/>
        <w:wordWrap/>
        <w:adjustRightInd/>
        <w:snapToGrid/>
        <w:spacing w:before="0" w:beforeAutospacing="0" w:after="0" w:afterAutospacing="0" w:line="540" w:lineRule="exact"/>
        <w:jc w:val="center"/>
        <w:textAlignment w:val="baseline"/>
        <w:rPr>
          <w:rStyle w:val="9"/>
          <w:rFonts w:hint="eastAsia" w:ascii="黑体" w:hAnsi="黑体" w:eastAsia="黑体" w:cs="黑体"/>
          <w:b w:val="0"/>
          <w:bCs/>
          <w:i w:val="0"/>
          <w:caps w:val="0"/>
          <w:spacing w:val="0"/>
          <w:w w:val="100"/>
          <w:kern w:val="0"/>
          <w:sz w:val="44"/>
          <w:szCs w:val="44"/>
          <w:lang w:val="en-US" w:eastAsia="zh-CN" w:bidi="ar-SA"/>
        </w:rPr>
      </w:pPr>
      <w:r>
        <w:rPr>
          <w:rStyle w:val="9"/>
          <w:rFonts w:hint="eastAsia" w:ascii="黑体" w:hAnsi="黑体" w:eastAsia="黑体" w:cs="黑体"/>
          <w:b w:val="0"/>
          <w:bCs/>
          <w:i w:val="0"/>
          <w:caps w:val="0"/>
          <w:spacing w:val="0"/>
          <w:w w:val="100"/>
          <w:kern w:val="0"/>
          <w:sz w:val="44"/>
          <w:szCs w:val="44"/>
          <w:lang w:val="en-US" w:eastAsia="zh-CN" w:bidi="ar-SA"/>
        </w:rPr>
        <w:t>发展实施意见</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为促进全区商贸经济快速发展，加大培育和支持商贸流通主体做大做强，调动商贸企业和个体经营户发展成为限上企业的积极性，充分发挥限额以上商贸流通企业的示范引领和支撑带动作用，快速推进全区商贸经济上台阶、上水平、上规模，实现社会消费品零售总额持续增长，特提出如下意见。</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黑体" w:cs="Times New Roman"/>
          <w:b w:val="0"/>
          <w:bCs w:val="0"/>
          <w:i w:val="0"/>
          <w:caps w:val="0"/>
          <w:color w:val="000000"/>
          <w:spacing w:val="0"/>
          <w:w w:val="100"/>
          <w:kern w:val="2"/>
          <w:sz w:val="32"/>
          <w:szCs w:val="32"/>
          <w:lang w:val="en-US" w:eastAsia="zh-CN" w:bidi="ar-SA"/>
        </w:rPr>
      </w:pPr>
      <w:r>
        <w:rPr>
          <w:rStyle w:val="9"/>
          <w:rFonts w:hint="default" w:ascii="Times New Roman" w:hAnsi="Times New Roman" w:eastAsia="黑体" w:cs="Times New Roman"/>
          <w:b w:val="0"/>
          <w:bCs w:val="0"/>
          <w:i w:val="0"/>
          <w:caps w:val="0"/>
          <w:color w:val="000000"/>
          <w:spacing w:val="0"/>
          <w:w w:val="100"/>
          <w:kern w:val="0"/>
          <w:sz w:val="32"/>
          <w:szCs w:val="32"/>
          <w:lang w:val="en-US" w:eastAsia="zh-CN" w:bidi="ar-SA"/>
        </w:rPr>
        <w:t>一、发展目标</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强化商贸流通企业入统的重要性，积极引导企业应统尽统。限额以上商贸流通企业总量，预计</w:t>
      </w:r>
      <w:r>
        <w:rPr>
          <w:rStyle w:val="9"/>
          <w:rFonts w:hint="eastAsia" w:ascii="仿宋_GB2312" w:hAnsi="仿宋_GB2312" w:eastAsia="仿宋_GB2312" w:cs="仿宋_GB2312"/>
          <w:b w:val="0"/>
          <w:i w:val="0"/>
          <w:caps w:val="0"/>
          <w:color w:val="000000"/>
          <w:spacing w:val="0"/>
          <w:w w:val="100"/>
          <w:kern w:val="0"/>
          <w:sz w:val="32"/>
          <w:szCs w:val="32"/>
          <w:lang w:val="en-US" w:eastAsia="zh-CN" w:bidi="ar-SA"/>
        </w:rPr>
        <w:t>2021年达200</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家。限额以上社会消费品零售总额年</w:t>
      </w:r>
      <w:r>
        <w:rPr>
          <w:rStyle w:val="9"/>
          <w:rFonts w:hint="eastAsia" w:ascii="仿宋_GB2312" w:hAnsi="仿宋_GB2312" w:eastAsia="仿宋_GB2312" w:cs="仿宋_GB2312"/>
          <w:b w:val="0"/>
          <w:i w:val="0"/>
          <w:caps w:val="0"/>
          <w:color w:val="000000"/>
          <w:spacing w:val="0"/>
          <w:w w:val="100"/>
          <w:kern w:val="0"/>
          <w:sz w:val="32"/>
          <w:szCs w:val="32"/>
          <w:lang w:val="en-US" w:eastAsia="zh-CN" w:bidi="ar-SA"/>
        </w:rPr>
        <w:t>增长8%以上，商</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贸企业规模进一步扩大，行业结构进一步优化。</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黑体" w:cs="Times New Roman"/>
          <w:b w:val="0"/>
          <w:bCs w:val="0"/>
          <w:i w:val="0"/>
          <w:caps w:val="0"/>
          <w:color w:val="000000"/>
          <w:spacing w:val="0"/>
          <w:w w:val="100"/>
          <w:kern w:val="0"/>
          <w:sz w:val="32"/>
          <w:szCs w:val="32"/>
          <w:lang w:val="en-US" w:eastAsia="zh-CN" w:bidi="ar-SA"/>
        </w:rPr>
      </w:pPr>
      <w:r>
        <w:rPr>
          <w:rStyle w:val="9"/>
          <w:rFonts w:hint="default" w:ascii="Times New Roman" w:hAnsi="Times New Roman" w:eastAsia="黑体" w:cs="Times New Roman"/>
          <w:b w:val="0"/>
          <w:bCs w:val="0"/>
          <w:i w:val="0"/>
          <w:caps w:val="0"/>
          <w:color w:val="000000"/>
          <w:spacing w:val="0"/>
          <w:w w:val="100"/>
          <w:kern w:val="0"/>
          <w:sz w:val="32"/>
          <w:szCs w:val="32"/>
          <w:lang w:val="en-US" w:eastAsia="zh-CN" w:bidi="ar-SA"/>
        </w:rPr>
        <w:t>二、组织机构</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成立信州区促进限额以上商贸流通企业发展领导小组（以下简称领导小组）。由区委常委汪东军任组长，区政府分管副区长龚桃任副组长，</w:t>
      </w:r>
      <w:r>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商务局、</w:t>
      </w:r>
      <w:r>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统计局、</w:t>
      </w:r>
      <w:r>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财政局、</w:t>
      </w:r>
      <w:r>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税务局、</w:t>
      </w:r>
      <w:r>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市管局、</w:t>
      </w:r>
      <w:r>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文广新</w:t>
      </w:r>
      <w:r>
        <w:rPr>
          <w:rStyle w:val="9"/>
          <w:rFonts w:hint="default" w:ascii="Times New Roman" w:hAnsi="Times New Roman" w:eastAsia="仿宋_GB2312" w:cs="Times New Roman"/>
          <w:b w:val="0"/>
          <w:i w:val="0"/>
          <w:caps w:val="0"/>
          <w:color w:val="auto"/>
          <w:spacing w:val="0"/>
          <w:w w:val="100"/>
          <w:kern w:val="0"/>
          <w:sz w:val="32"/>
          <w:szCs w:val="32"/>
          <w:lang w:val="en-US" w:eastAsia="zh-CN" w:bidi="ar-SA"/>
        </w:rPr>
        <w:t>旅局、各镇</w:t>
      </w:r>
      <w:r>
        <w:rPr>
          <w:rStyle w:val="9"/>
          <w:rFonts w:hint="eastAsia" w:ascii="Times New Roman" w:hAnsi="Times New Roman" w:eastAsia="仿宋_GB2312" w:cs="Times New Roman"/>
          <w:b w:val="0"/>
          <w:i w:val="0"/>
          <w:caps w:val="0"/>
          <w:color w:val="auto"/>
          <w:spacing w:val="0"/>
          <w:w w:val="100"/>
          <w:kern w:val="0"/>
          <w:sz w:val="32"/>
          <w:szCs w:val="32"/>
          <w:lang w:val="en-US" w:eastAsia="zh-CN" w:bidi="ar-SA"/>
        </w:rPr>
        <w:t>（街道）</w:t>
      </w:r>
      <w:r>
        <w:rPr>
          <w:rStyle w:val="9"/>
          <w:rFonts w:hint="default" w:ascii="Times New Roman" w:hAnsi="Times New Roman" w:eastAsia="仿宋_GB2312" w:cs="Times New Roman"/>
          <w:b w:val="0"/>
          <w:i w:val="0"/>
          <w:caps w:val="0"/>
          <w:color w:val="auto"/>
          <w:spacing w:val="0"/>
          <w:w w:val="100"/>
          <w:kern w:val="0"/>
          <w:sz w:val="32"/>
          <w:szCs w:val="32"/>
          <w:lang w:val="en-US" w:eastAsia="zh-CN" w:bidi="ar-SA"/>
        </w:rPr>
        <w:t>相关</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领导为成员，统一领导、组织、督查全区限额以上商贸流通企业工作。领导小组下设办公室，办公室设在区商务局，主要负责限上商贸流通企业入统协调、调度等工作。</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黑体" w:cs="Times New Roman"/>
          <w:b w:val="0"/>
          <w:bCs w:val="0"/>
          <w:i w:val="0"/>
          <w:caps w:val="0"/>
          <w:color w:val="000000"/>
          <w:spacing w:val="0"/>
          <w:w w:val="100"/>
          <w:kern w:val="0"/>
          <w:sz w:val="32"/>
          <w:szCs w:val="32"/>
          <w:lang w:val="en-US" w:eastAsia="zh-CN" w:bidi="ar-SA"/>
        </w:rPr>
      </w:pPr>
      <w:r>
        <w:rPr>
          <w:rStyle w:val="9"/>
          <w:rFonts w:hint="default" w:ascii="Times New Roman" w:hAnsi="Times New Roman" w:eastAsia="黑体" w:cs="Times New Roman"/>
          <w:b w:val="0"/>
          <w:bCs w:val="0"/>
          <w:i w:val="0"/>
          <w:caps w:val="0"/>
          <w:color w:val="000000"/>
          <w:spacing w:val="0"/>
          <w:w w:val="100"/>
          <w:kern w:val="0"/>
          <w:sz w:val="32"/>
          <w:szCs w:val="32"/>
          <w:lang w:val="en-US" w:eastAsia="zh-CN" w:bidi="ar-SA"/>
        </w:rPr>
        <w:t>三、部门职责</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按照“限上企业抓增长，上限企业抓入库，近限企业抓培育，新建企业抓跟踪”的原则，加强沟通、密切配合，全力做好服务商贸企业的各项工作。</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eastAsia" w:ascii="Times New Roman" w:hAnsi="Times New Roman" w:eastAsia="仿宋_GB2312" w:cs="Times New Roman"/>
          <w:b/>
          <w:bCs/>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bCs/>
          <w:i w:val="0"/>
          <w:caps w:val="0"/>
          <w:color w:val="000000"/>
          <w:spacing w:val="0"/>
          <w:w w:val="100"/>
          <w:kern w:val="0"/>
          <w:sz w:val="32"/>
          <w:szCs w:val="32"/>
          <w:lang w:val="en-US" w:eastAsia="zh-CN" w:bidi="ar-SA"/>
        </w:rPr>
        <w:t>商务局</w:t>
      </w:r>
      <w:r>
        <w:rPr>
          <w:rStyle w:val="9"/>
          <w:rFonts w:hint="eastAsia" w:eastAsia="仿宋_GB2312" w:cs="Times New Roman"/>
          <w:b/>
          <w:bCs/>
          <w:i w:val="0"/>
          <w:caps w:val="0"/>
          <w:color w:val="000000"/>
          <w:spacing w:val="0"/>
          <w:w w:val="100"/>
          <w:kern w:val="0"/>
          <w:sz w:val="32"/>
          <w:szCs w:val="32"/>
          <w:lang w:val="en-US" w:eastAsia="zh-CN" w:bidi="ar-SA"/>
        </w:rPr>
        <w:t>：</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负责履行商贸流通企业协调、服务职能，抓好商贸流通企业的帮扶和培育工作，壮大企业规模，加快全区商贸流通业发展；按年度达限目标，对全区具备达限条件的企业进行排查梳理，收集各部门各单位提交的拟新增入统企业（含大个体）材料并进行初审；制定全区商贸流通企业发展实施意见。负责新增限额以上商贸企业奖励资金和财政扶持资金的前期资料审核及资金拨付。</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eastAsia" w:ascii="Times New Roman" w:hAnsi="Times New Roman" w:eastAsia="仿宋_GB2312" w:cs="Times New Roman"/>
          <w:b/>
          <w:bCs/>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bCs/>
          <w:i w:val="0"/>
          <w:caps w:val="0"/>
          <w:color w:val="000000"/>
          <w:spacing w:val="0"/>
          <w:w w:val="100"/>
          <w:kern w:val="0"/>
          <w:sz w:val="32"/>
          <w:szCs w:val="32"/>
          <w:lang w:val="en-US" w:eastAsia="zh-CN" w:bidi="ar-SA"/>
        </w:rPr>
        <w:t>统计局</w:t>
      </w:r>
      <w:r>
        <w:rPr>
          <w:rStyle w:val="9"/>
          <w:rFonts w:hint="eastAsia" w:eastAsia="仿宋_GB2312" w:cs="Times New Roman"/>
          <w:b/>
          <w:bCs/>
          <w:i w:val="0"/>
          <w:caps w:val="0"/>
          <w:color w:val="000000"/>
          <w:spacing w:val="0"/>
          <w:w w:val="100"/>
          <w:kern w:val="0"/>
          <w:sz w:val="32"/>
          <w:szCs w:val="32"/>
          <w:lang w:val="en-US" w:eastAsia="zh-CN" w:bidi="ar-SA"/>
        </w:rPr>
        <w:t>：</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负责加强统计业务指导、培训和执法监督，积极推进限额以上商贸企业统计联网直报工作；依法督促企业全面、准确、及时填报统计数据；将商务局提供的拟新增入统企业材料进行二次审核后，及时进行申报和反馈。</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eastAsia" w:ascii="Times New Roman" w:hAnsi="Times New Roman" w:eastAsia="仿宋_GB2312" w:cs="Times New Roman"/>
          <w:b/>
          <w:bCs/>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bCs/>
          <w:i w:val="0"/>
          <w:caps w:val="0"/>
          <w:color w:val="000000"/>
          <w:spacing w:val="0"/>
          <w:w w:val="100"/>
          <w:kern w:val="0"/>
          <w:sz w:val="32"/>
          <w:szCs w:val="32"/>
          <w:lang w:val="en-US" w:eastAsia="zh-CN" w:bidi="ar-SA"/>
        </w:rPr>
        <w:t>财政局</w:t>
      </w:r>
      <w:r>
        <w:rPr>
          <w:rStyle w:val="9"/>
          <w:rFonts w:hint="eastAsia" w:eastAsia="仿宋_GB2312" w:cs="Times New Roman"/>
          <w:b/>
          <w:bCs/>
          <w:i w:val="0"/>
          <w:caps w:val="0"/>
          <w:color w:val="000000"/>
          <w:spacing w:val="0"/>
          <w:w w:val="100"/>
          <w:kern w:val="0"/>
          <w:sz w:val="32"/>
          <w:szCs w:val="32"/>
          <w:lang w:val="en-US" w:eastAsia="zh-CN" w:bidi="ar-SA"/>
        </w:rPr>
        <w:t>：</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负责对商务局提交的新增限额以上商贸企业奖励资金和财政扶持资金资料的复审、下拨及监督检查；指导帮助企业完善财务制度，规范财务管理；做好商贸企业财务人员的业务培训。</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eastAsia" w:ascii="Times New Roman" w:hAnsi="Times New Roman" w:eastAsia="仿宋_GB2312" w:cs="Times New Roman"/>
          <w:b/>
          <w:bCs/>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bCs/>
          <w:i w:val="0"/>
          <w:caps w:val="0"/>
          <w:color w:val="000000"/>
          <w:spacing w:val="0"/>
          <w:w w:val="100"/>
          <w:kern w:val="0"/>
          <w:sz w:val="32"/>
          <w:szCs w:val="32"/>
          <w:lang w:val="en-US" w:eastAsia="zh-CN" w:bidi="ar-SA"/>
        </w:rPr>
        <w:t>税务局</w:t>
      </w:r>
      <w:r>
        <w:rPr>
          <w:rStyle w:val="9"/>
          <w:rFonts w:hint="eastAsia" w:eastAsia="仿宋_GB2312" w:cs="Times New Roman"/>
          <w:b/>
          <w:bCs/>
          <w:i w:val="0"/>
          <w:caps w:val="0"/>
          <w:color w:val="000000"/>
          <w:spacing w:val="0"/>
          <w:w w:val="100"/>
          <w:kern w:val="0"/>
          <w:sz w:val="32"/>
          <w:szCs w:val="32"/>
          <w:lang w:val="en-US" w:eastAsia="zh-CN" w:bidi="ar-SA"/>
        </w:rPr>
        <w:t>：</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负责提供辖区范围内批发业、零售业、住宿业和餐饮业等企业有关纳税情况，协助申报上限企业提供纳税证明。</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eastAsia" w:ascii="Times New Roman" w:hAnsi="Times New Roman" w:eastAsia="仿宋_GB2312" w:cs="Times New Roman"/>
          <w:b/>
          <w:bCs/>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bCs/>
          <w:i w:val="0"/>
          <w:caps w:val="0"/>
          <w:color w:val="000000"/>
          <w:spacing w:val="0"/>
          <w:w w:val="100"/>
          <w:kern w:val="0"/>
          <w:sz w:val="32"/>
          <w:szCs w:val="32"/>
          <w:lang w:val="en-US" w:eastAsia="zh-CN" w:bidi="ar-SA"/>
        </w:rPr>
        <w:t>市管局</w:t>
      </w:r>
      <w:r>
        <w:rPr>
          <w:rStyle w:val="9"/>
          <w:rFonts w:hint="eastAsia" w:eastAsia="仿宋_GB2312" w:cs="Times New Roman"/>
          <w:b/>
          <w:bCs/>
          <w:i w:val="0"/>
          <w:caps w:val="0"/>
          <w:color w:val="000000"/>
          <w:spacing w:val="0"/>
          <w:w w:val="100"/>
          <w:kern w:val="0"/>
          <w:sz w:val="32"/>
          <w:szCs w:val="32"/>
          <w:lang w:val="en-US" w:eastAsia="zh-CN" w:bidi="ar-SA"/>
        </w:rPr>
        <w:t>：</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负责协调医药行业、大型餐饮业入统。提供登记注册企业名录，引导符合条件的个体经营户升级为企业法人。</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eastAsia" w:ascii="Times New Roman" w:hAnsi="Times New Roman" w:eastAsia="仿宋_GB2312" w:cs="Times New Roman"/>
          <w:b/>
          <w:bCs/>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bCs/>
          <w:i w:val="0"/>
          <w:caps w:val="0"/>
          <w:color w:val="000000"/>
          <w:spacing w:val="0"/>
          <w:w w:val="100"/>
          <w:kern w:val="0"/>
          <w:sz w:val="32"/>
          <w:szCs w:val="32"/>
          <w:lang w:val="en-US" w:eastAsia="zh-CN" w:bidi="ar-SA"/>
        </w:rPr>
        <w:t>文广新旅局</w:t>
      </w:r>
      <w:r>
        <w:rPr>
          <w:rStyle w:val="9"/>
          <w:rFonts w:hint="eastAsia" w:eastAsia="仿宋_GB2312" w:cs="Times New Roman"/>
          <w:b/>
          <w:bCs/>
          <w:i w:val="0"/>
          <w:caps w:val="0"/>
          <w:color w:val="000000"/>
          <w:spacing w:val="0"/>
          <w:w w:val="100"/>
          <w:kern w:val="0"/>
          <w:sz w:val="32"/>
          <w:szCs w:val="32"/>
          <w:lang w:val="en-US" w:eastAsia="zh-CN" w:bidi="ar-SA"/>
        </w:rPr>
        <w:t>：</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负责提供星级宾馆、旅行社和旅游商品开发户等涉旅企业有关发展数据。</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Times New Roman" w:hAnsi="Times New Roman" w:eastAsia="仿宋_GB2312" w:cs="Times New Roman"/>
          <w:b/>
          <w:bCs/>
          <w:i w:val="0"/>
          <w:caps w:val="0"/>
          <w:color w:val="000000"/>
          <w:spacing w:val="0"/>
          <w:w w:val="100"/>
          <w:kern w:val="0"/>
          <w:sz w:val="32"/>
          <w:szCs w:val="32"/>
          <w:lang w:val="en-US" w:eastAsia="zh-CN" w:bidi="ar-SA"/>
        </w:rPr>
        <w:t>各镇</w:t>
      </w:r>
      <w:r>
        <w:rPr>
          <w:rStyle w:val="9"/>
          <w:rFonts w:hint="eastAsia" w:eastAsia="仿宋_GB2312" w:cs="Times New Roman"/>
          <w:b/>
          <w:bCs/>
          <w:i w:val="0"/>
          <w:caps w:val="0"/>
          <w:color w:val="000000"/>
          <w:spacing w:val="0"/>
          <w:w w:val="100"/>
          <w:kern w:val="0"/>
          <w:sz w:val="32"/>
          <w:szCs w:val="32"/>
          <w:lang w:val="en-US" w:eastAsia="zh-CN" w:bidi="ar-SA"/>
        </w:rPr>
        <w:t>、</w:t>
      </w:r>
      <w:r>
        <w:rPr>
          <w:rStyle w:val="9"/>
          <w:rFonts w:hint="default" w:ascii="Times New Roman" w:hAnsi="Times New Roman" w:eastAsia="仿宋_GB2312" w:cs="Times New Roman"/>
          <w:b/>
          <w:bCs/>
          <w:i w:val="0"/>
          <w:caps w:val="0"/>
          <w:color w:val="000000"/>
          <w:spacing w:val="0"/>
          <w:w w:val="100"/>
          <w:kern w:val="0"/>
          <w:sz w:val="32"/>
          <w:szCs w:val="32"/>
          <w:lang w:val="en-US" w:eastAsia="zh-CN" w:bidi="ar-SA"/>
        </w:rPr>
        <w:t>街道</w:t>
      </w:r>
      <w:r>
        <w:rPr>
          <w:rStyle w:val="9"/>
          <w:rFonts w:hint="eastAsia" w:eastAsia="仿宋_GB2312" w:cs="Times New Roman"/>
          <w:b/>
          <w:bCs/>
          <w:i w:val="0"/>
          <w:caps w:val="0"/>
          <w:color w:val="000000"/>
          <w:spacing w:val="0"/>
          <w:w w:val="100"/>
          <w:kern w:val="0"/>
          <w:sz w:val="32"/>
          <w:szCs w:val="32"/>
          <w:lang w:val="en-US" w:eastAsia="zh-CN" w:bidi="ar-SA"/>
        </w:rPr>
        <w:t>：</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负责对辖区内具备达限条件的企业进行排查梳理，做好拟新增入统企业的资料收集，并提交区商务局进行初审，加</w:t>
      </w:r>
      <w:r>
        <w:rPr>
          <w:rStyle w:val="9"/>
          <w:rFonts w:hint="default" w:ascii="Times New Roman" w:hAnsi="Times New Roman" w:eastAsia="仿宋_GB2312" w:cs="Times New Roman"/>
          <w:b w:val="0"/>
          <w:i w:val="0"/>
          <w:caps w:val="0"/>
          <w:color w:val="auto"/>
          <w:spacing w:val="0"/>
          <w:w w:val="100"/>
          <w:kern w:val="0"/>
          <w:sz w:val="32"/>
          <w:szCs w:val="32"/>
          <w:lang w:val="en-US" w:eastAsia="zh-CN" w:bidi="ar-SA"/>
        </w:rPr>
        <w:t>强与区商务</w:t>
      </w:r>
      <w:r>
        <w:rPr>
          <w:rStyle w:val="9"/>
          <w:rFonts w:hint="eastAsia" w:eastAsia="仿宋_GB2312" w:cs="Times New Roman"/>
          <w:b w:val="0"/>
          <w:i w:val="0"/>
          <w:caps w:val="0"/>
          <w:color w:val="auto"/>
          <w:spacing w:val="0"/>
          <w:w w:val="100"/>
          <w:kern w:val="0"/>
          <w:sz w:val="32"/>
          <w:szCs w:val="32"/>
          <w:lang w:val="en-US" w:eastAsia="zh-CN" w:bidi="ar-SA"/>
        </w:rPr>
        <w:t>局</w:t>
      </w:r>
      <w:r>
        <w:rPr>
          <w:rStyle w:val="9"/>
          <w:rFonts w:hint="default" w:ascii="Times New Roman" w:hAnsi="Times New Roman" w:eastAsia="仿宋_GB2312" w:cs="Times New Roman"/>
          <w:b w:val="0"/>
          <w:i w:val="0"/>
          <w:caps w:val="0"/>
          <w:color w:val="auto"/>
          <w:spacing w:val="0"/>
          <w:w w:val="100"/>
          <w:kern w:val="0"/>
          <w:sz w:val="32"/>
          <w:szCs w:val="32"/>
          <w:lang w:val="en-US" w:eastAsia="zh-CN" w:bidi="ar-SA"/>
        </w:rPr>
        <w:t>、</w:t>
      </w:r>
      <w:r>
        <w:rPr>
          <w:rStyle w:val="9"/>
          <w:rFonts w:hint="eastAsia" w:eastAsia="仿宋_GB2312" w:cs="Times New Roman"/>
          <w:b w:val="0"/>
          <w:i w:val="0"/>
          <w:caps w:val="0"/>
          <w:color w:val="auto"/>
          <w:spacing w:val="0"/>
          <w:w w:val="100"/>
          <w:kern w:val="0"/>
          <w:sz w:val="32"/>
          <w:szCs w:val="32"/>
          <w:lang w:val="en-US" w:eastAsia="zh-CN" w:bidi="ar-SA"/>
        </w:rPr>
        <w:t>区统计局</w:t>
      </w:r>
      <w:r>
        <w:rPr>
          <w:rStyle w:val="9"/>
          <w:rFonts w:hint="default" w:ascii="Times New Roman" w:hAnsi="Times New Roman" w:eastAsia="仿宋_GB2312" w:cs="Times New Roman"/>
          <w:b w:val="0"/>
          <w:i w:val="0"/>
          <w:caps w:val="0"/>
          <w:color w:val="auto"/>
          <w:spacing w:val="0"/>
          <w:w w:val="100"/>
          <w:kern w:val="0"/>
          <w:sz w:val="32"/>
          <w:szCs w:val="32"/>
          <w:lang w:val="en-US" w:eastAsia="zh-CN" w:bidi="ar-SA"/>
        </w:rPr>
        <w:t>等部门的协调</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、衔接，力争更多拟上限企业获得上级审批，不断壮大</w:t>
      </w:r>
      <w:r>
        <w:rPr>
          <w:rStyle w:val="9"/>
          <w:rFonts w:hint="eastAsia" w:eastAsia="仿宋_GB2312" w:cs="Times New Roman"/>
          <w:b w:val="0"/>
          <w:i w:val="0"/>
          <w:caps w:val="0"/>
          <w:color w:val="000000"/>
          <w:spacing w:val="0"/>
          <w:w w:val="100"/>
          <w:kern w:val="0"/>
          <w:sz w:val="32"/>
          <w:szCs w:val="32"/>
          <w:lang w:val="en-US" w:eastAsia="zh-CN" w:bidi="ar-SA"/>
        </w:rPr>
        <w:t>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街道商贸经济总量。新入统的商贸企业所纳税额归属相关服务入统的镇街。</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Times New Roman" w:hAnsi="Times New Roman" w:eastAsia="仿宋_GB2312" w:cs="Times New Roman"/>
          <w:b/>
          <w:bCs/>
          <w:i w:val="0"/>
          <w:caps w:val="0"/>
          <w:color w:val="000000"/>
          <w:spacing w:val="0"/>
          <w:w w:val="100"/>
          <w:kern w:val="0"/>
          <w:sz w:val="32"/>
          <w:szCs w:val="32"/>
          <w:lang w:val="en-US" w:eastAsia="zh-CN" w:bidi="ar-SA"/>
        </w:rPr>
        <w:t>其他相关部门</w:t>
      </w:r>
      <w:r>
        <w:rPr>
          <w:rStyle w:val="9"/>
          <w:rFonts w:hint="eastAsia" w:eastAsia="仿宋_GB2312" w:cs="Times New Roman"/>
          <w:b/>
          <w:bCs/>
          <w:i w:val="0"/>
          <w:caps w:val="0"/>
          <w:color w:val="000000"/>
          <w:spacing w:val="0"/>
          <w:w w:val="100"/>
          <w:kern w:val="0"/>
          <w:sz w:val="32"/>
          <w:szCs w:val="32"/>
          <w:lang w:val="en-US" w:eastAsia="zh-CN" w:bidi="ar-SA"/>
        </w:rPr>
        <w:t>：</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依照部门职责协助做好有关入统工作。</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黑体" w:cs="Times New Roman"/>
          <w:b w:val="0"/>
          <w:bCs w:val="0"/>
          <w:i w:val="0"/>
          <w:caps w:val="0"/>
          <w:color w:val="000000"/>
          <w:spacing w:val="0"/>
          <w:w w:val="100"/>
          <w:kern w:val="0"/>
          <w:sz w:val="32"/>
          <w:szCs w:val="32"/>
          <w:lang w:val="en-US" w:eastAsia="zh-CN" w:bidi="ar-SA"/>
        </w:rPr>
      </w:pPr>
      <w:r>
        <w:rPr>
          <w:rStyle w:val="9"/>
          <w:rFonts w:hint="default" w:ascii="Times New Roman" w:hAnsi="Times New Roman" w:eastAsia="黑体" w:cs="Times New Roman"/>
          <w:b w:val="0"/>
          <w:bCs w:val="0"/>
          <w:i w:val="0"/>
          <w:caps w:val="0"/>
          <w:color w:val="000000"/>
          <w:spacing w:val="0"/>
          <w:w w:val="100"/>
          <w:kern w:val="0"/>
          <w:sz w:val="32"/>
          <w:szCs w:val="32"/>
          <w:lang w:val="en-US" w:eastAsia="zh-CN" w:bidi="ar-SA"/>
        </w:rPr>
        <w:t>四、鼓励发展对象、方式</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eastAsia" w:ascii="楷体_GB2312" w:hAnsi="楷体_GB2312" w:eastAsia="楷体_GB2312" w:cs="楷体_GB2312"/>
          <w:b/>
          <w:bCs/>
          <w:i w:val="0"/>
          <w:caps w:val="0"/>
          <w:color w:val="000000"/>
          <w:spacing w:val="0"/>
          <w:w w:val="100"/>
          <w:kern w:val="0"/>
          <w:sz w:val="32"/>
          <w:szCs w:val="32"/>
          <w:lang w:val="en-US" w:eastAsia="zh-CN" w:bidi="ar-SA"/>
        </w:rPr>
      </w:pPr>
      <w:r>
        <w:rPr>
          <w:rStyle w:val="9"/>
          <w:rFonts w:hint="eastAsia" w:ascii="楷体_GB2312" w:hAnsi="楷体_GB2312" w:eastAsia="楷体_GB2312" w:cs="楷体_GB2312"/>
          <w:b/>
          <w:i w:val="0"/>
          <w:caps w:val="0"/>
          <w:color w:val="000000"/>
          <w:spacing w:val="0"/>
          <w:w w:val="100"/>
          <w:kern w:val="2"/>
          <w:sz w:val="32"/>
          <w:szCs w:val="32"/>
          <w:lang w:val="en-US" w:eastAsia="zh-CN" w:bidi="ar-SA"/>
        </w:rPr>
        <w:t>（一）鼓励发展的对象</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9"/>
          <w:rFonts w:hint="default" w:ascii="仿宋_GB2312" w:hAnsi="仿宋_GB2312" w:eastAsia="仿宋_GB2312" w:cs="仿宋_GB2312"/>
          <w:b w:val="0"/>
          <w:i w:val="0"/>
          <w:caps w:val="0"/>
          <w:color w:val="auto"/>
          <w:spacing w:val="0"/>
          <w:w w:val="100"/>
          <w:kern w:val="0"/>
          <w:sz w:val="32"/>
          <w:szCs w:val="32"/>
          <w:lang w:val="en-US" w:eastAsia="zh-CN" w:bidi="ar-SA"/>
        </w:rPr>
        <w:t>在区</w:t>
      </w:r>
      <w:r>
        <w:rPr>
          <w:rStyle w:val="9"/>
          <w:rFonts w:hint="eastAsia" w:ascii="仿宋_GB2312" w:hAnsi="仿宋_GB2312" w:eastAsia="仿宋_GB2312" w:cs="仿宋_GB2312"/>
          <w:b w:val="0"/>
          <w:i w:val="0"/>
          <w:caps w:val="0"/>
          <w:color w:val="auto"/>
          <w:spacing w:val="0"/>
          <w:w w:val="100"/>
          <w:kern w:val="0"/>
          <w:sz w:val="32"/>
          <w:szCs w:val="32"/>
          <w:lang w:val="en-US" w:eastAsia="zh-CN" w:bidi="ar-SA"/>
        </w:rPr>
        <w:t>市管局</w:t>
      </w:r>
      <w:r>
        <w:rPr>
          <w:rStyle w:val="9"/>
          <w:rFonts w:hint="default" w:ascii="仿宋_GB2312" w:hAnsi="仿宋_GB2312" w:eastAsia="仿宋_GB2312" w:cs="仿宋_GB2312"/>
          <w:b w:val="0"/>
          <w:i w:val="0"/>
          <w:caps w:val="0"/>
          <w:color w:val="auto"/>
          <w:spacing w:val="0"/>
          <w:w w:val="100"/>
          <w:kern w:val="0"/>
          <w:sz w:val="32"/>
          <w:szCs w:val="32"/>
          <w:lang w:val="en-US" w:eastAsia="zh-CN" w:bidi="ar-SA"/>
        </w:rPr>
        <w:t>注册登记，且全部税收在信州区入库的企业，经</w:t>
      </w:r>
      <w:r>
        <w:rPr>
          <w:rStyle w:val="9"/>
          <w:rFonts w:hint="eastAsia" w:ascii="仿宋_GB2312" w:hAnsi="仿宋_GB2312" w:eastAsia="仿宋_GB2312" w:cs="仿宋_GB2312"/>
          <w:b w:val="0"/>
          <w:i w:val="0"/>
          <w:caps w:val="0"/>
          <w:color w:val="auto"/>
          <w:spacing w:val="0"/>
          <w:w w:val="100"/>
          <w:kern w:val="0"/>
          <w:sz w:val="32"/>
          <w:szCs w:val="32"/>
          <w:lang w:val="en-US" w:eastAsia="zh-CN" w:bidi="ar-SA"/>
        </w:rPr>
        <w:t>区统计局</w:t>
      </w:r>
      <w:r>
        <w:rPr>
          <w:rStyle w:val="9"/>
          <w:rFonts w:hint="default" w:ascii="仿宋_GB2312" w:hAnsi="仿宋_GB2312" w:eastAsia="仿宋_GB2312" w:cs="仿宋_GB2312"/>
          <w:b w:val="0"/>
          <w:i w:val="0"/>
          <w:caps w:val="0"/>
          <w:color w:val="auto"/>
          <w:spacing w:val="0"/>
          <w:w w:val="100"/>
          <w:kern w:val="0"/>
          <w:sz w:val="32"/>
          <w:szCs w:val="32"/>
          <w:lang w:val="en-US" w:eastAsia="zh-CN" w:bidi="ar-SA"/>
        </w:rPr>
        <w:t>审核认定的下述商贸流通企业之一的</w:t>
      </w:r>
      <w:r>
        <w:rPr>
          <w:rStyle w:val="9"/>
          <w:rFonts w:hint="eastAsia" w:ascii="仿宋_GB2312" w:hAnsi="仿宋_GB2312" w:eastAsia="仿宋_GB2312" w:cs="仿宋_GB2312"/>
          <w:b w:val="0"/>
          <w:i w:val="0"/>
          <w:caps w:val="0"/>
          <w:color w:val="auto"/>
          <w:spacing w:val="0"/>
          <w:w w:val="100"/>
          <w:kern w:val="0"/>
          <w:sz w:val="32"/>
          <w:szCs w:val="32"/>
          <w:lang w:val="en-US" w:eastAsia="zh-CN" w:bidi="ar-SA"/>
        </w:rPr>
        <w:t>：</w:t>
      </w:r>
    </w:p>
    <w:p>
      <w:pPr>
        <w:widowControl/>
        <w:numPr>
          <w:numId w:val="0"/>
        </w:numPr>
        <w:shd w:val="clear" w:color="auto" w:fill="FFFFFF"/>
        <w:tabs>
          <w:tab w:val="left" w:pos="8505"/>
        </w:tabs>
        <w:wordWrap/>
        <w:adjustRightInd/>
        <w:snapToGrid w:val="0"/>
        <w:spacing w:before="0" w:beforeAutospacing="0" w:after="0" w:afterAutospacing="0" w:line="540" w:lineRule="exact"/>
        <w:ind w:right="0" w:firstLine="640" w:firstLineChars="200"/>
        <w:jc w:val="left"/>
        <w:textAlignment w:val="baseline"/>
        <w:rPr>
          <w:rStyle w:val="9"/>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9"/>
          <w:rFonts w:hint="eastAsia" w:ascii="仿宋_GB2312" w:hAnsi="仿宋_GB2312" w:eastAsia="仿宋_GB2312" w:cs="仿宋_GB2312"/>
          <w:b w:val="0"/>
          <w:i w:val="0"/>
          <w:caps w:val="0"/>
          <w:color w:val="auto"/>
          <w:spacing w:val="0"/>
          <w:w w:val="100"/>
          <w:kern w:val="0"/>
          <w:sz w:val="32"/>
          <w:szCs w:val="32"/>
          <w:lang w:val="en-US" w:eastAsia="zh-CN" w:bidi="ar-SA"/>
        </w:rPr>
        <w:t>（1）由个体户或限额以下企业转为限额以上的商贸企业；</w:t>
      </w:r>
    </w:p>
    <w:p>
      <w:pPr>
        <w:widowControl/>
        <w:numPr>
          <w:numId w:val="0"/>
        </w:numPr>
        <w:shd w:val="clear" w:color="auto" w:fill="FFFFFF"/>
        <w:tabs>
          <w:tab w:val="left" w:pos="8505"/>
        </w:tabs>
        <w:wordWrap/>
        <w:adjustRightInd/>
        <w:snapToGrid w:val="0"/>
        <w:spacing w:before="0" w:beforeAutospacing="0" w:after="0" w:afterAutospacing="0" w:line="540" w:lineRule="exact"/>
        <w:ind w:right="85" w:firstLine="640" w:firstLineChars="200"/>
        <w:jc w:val="left"/>
        <w:textAlignment w:val="baseline"/>
        <w:rPr>
          <w:rStyle w:val="9"/>
          <w:rFonts w:hint="default" w:ascii="仿宋_GB2312" w:hAnsi="仿宋_GB2312" w:eastAsia="仿宋_GB2312" w:cs="仿宋_GB2312"/>
          <w:b w:val="0"/>
          <w:i w:val="0"/>
          <w:caps w:val="0"/>
          <w:color w:val="auto"/>
          <w:spacing w:val="0"/>
          <w:w w:val="100"/>
          <w:kern w:val="0"/>
          <w:sz w:val="32"/>
          <w:szCs w:val="32"/>
          <w:lang w:val="en-US" w:eastAsia="zh-CN" w:bidi="ar-SA"/>
        </w:rPr>
      </w:pPr>
      <w:r>
        <w:rPr>
          <w:rStyle w:val="9"/>
          <w:rFonts w:hint="eastAsia" w:ascii="仿宋_GB2312" w:hAnsi="仿宋_GB2312" w:eastAsia="仿宋_GB2312" w:cs="仿宋_GB2312"/>
          <w:b w:val="0"/>
          <w:i w:val="0"/>
          <w:caps w:val="0"/>
          <w:color w:val="auto"/>
          <w:spacing w:val="0"/>
          <w:w w:val="100"/>
          <w:kern w:val="0"/>
          <w:sz w:val="32"/>
          <w:szCs w:val="32"/>
          <w:lang w:val="en-US" w:eastAsia="zh-CN" w:bidi="ar-SA"/>
        </w:rPr>
        <w:t>（2）大</w:t>
      </w:r>
      <w:r>
        <w:rPr>
          <w:rStyle w:val="9"/>
          <w:rFonts w:hint="default" w:ascii="仿宋_GB2312" w:hAnsi="仿宋_GB2312" w:eastAsia="仿宋_GB2312" w:cs="仿宋_GB2312"/>
          <w:b w:val="0"/>
          <w:i w:val="0"/>
          <w:caps w:val="0"/>
          <w:color w:val="auto"/>
          <w:spacing w:val="0"/>
          <w:w w:val="100"/>
          <w:kern w:val="0"/>
          <w:sz w:val="32"/>
          <w:szCs w:val="32"/>
          <w:lang w:val="en-US" w:eastAsia="zh-CN" w:bidi="ar-SA"/>
        </w:rPr>
        <w:t>个体户转为法人企业；</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仿宋_GB2312" w:hAnsi="仿宋_GB2312" w:eastAsia="仿宋_GB2312" w:cs="仿宋_GB2312"/>
          <w:b w:val="0"/>
          <w:i w:val="0"/>
          <w:caps w:val="0"/>
          <w:color w:val="auto"/>
          <w:spacing w:val="0"/>
          <w:w w:val="100"/>
          <w:kern w:val="0"/>
          <w:sz w:val="32"/>
          <w:szCs w:val="32"/>
          <w:lang w:val="en-US" w:eastAsia="zh-CN" w:bidi="ar-SA"/>
        </w:rPr>
      </w:pPr>
      <w:r>
        <w:rPr>
          <w:rStyle w:val="9"/>
          <w:rFonts w:hint="default" w:ascii="仿宋_GB2312" w:hAnsi="仿宋_GB2312" w:eastAsia="仿宋_GB2312" w:cs="仿宋_GB2312"/>
          <w:b w:val="0"/>
          <w:i w:val="0"/>
          <w:caps w:val="0"/>
          <w:color w:val="auto"/>
          <w:spacing w:val="0"/>
          <w:w w:val="100"/>
          <w:kern w:val="0"/>
          <w:sz w:val="32"/>
          <w:szCs w:val="32"/>
          <w:lang w:val="en-US" w:eastAsia="zh-CN" w:bidi="ar-SA"/>
        </w:rPr>
        <w:t>（3）分公司转为法人企业；</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仿宋_GB2312" w:hAnsi="仿宋_GB2312" w:eastAsia="仿宋_GB2312" w:cs="仿宋_GB2312"/>
          <w:b w:val="0"/>
          <w:i w:val="0"/>
          <w:caps w:val="0"/>
          <w:color w:val="auto"/>
          <w:spacing w:val="0"/>
          <w:w w:val="100"/>
          <w:kern w:val="0"/>
          <w:sz w:val="32"/>
          <w:szCs w:val="32"/>
          <w:lang w:val="en-US" w:eastAsia="zh-CN" w:bidi="ar-SA"/>
        </w:rPr>
      </w:pPr>
      <w:r>
        <w:rPr>
          <w:rStyle w:val="9"/>
          <w:rFonts w:hint="default" w:ascii="仿宋_GB2312" w:hAnsi="仿宋_GB2312" w:eastAsia="仿宋_GB2312" w:cs="仿宋_GB2312"/>
          <w:b w:val="0"/>
          <w:i w:val="0"/>
          <w:caps w:val="0"/>
          <w:color w:val="auto"/>
          <w:spacing w:val="0"/>
          <w:w w:val="100"/>
          <w:kern w:val="0"/>
          <w:sz w:val="32"/>
          <w:szCs w:val="32"/>
          <w:lang w:val="en-US" w:eastAsia="zh-CN" w:bidi="ar-SA"/>
        </w:rPr>
        <w:t>（4）国家联网直报系统在库企业（含大个体）。</w:t>
      </w:r>
    </w:p>
    <w:p>
      <w:pPr>
        <w:widowControl/>
        <w:shd w:val="clear" w:color="auto" w:fill="FFFFFF"/>
        <w:tabs>
          <w:tab w:val="left" w:pos="8505"/>
        </w:tabs>
        <w:wordWrap/>
        <w:adjustRightInd/>
        <w:snapToGrid w:val="0"/>
        <w:spacing w:before="0" w:beforeAutospacing="0" w:after="0" w:afterAutospacing="0" w:line="540" w:lineRule="exact"/>
        <w:ind w:right="0" w:firstLine="632"/>
        <w:jc w:val="left"/>
        <w:textAlignment w:val="baseline"/>
        <w:rPr>
          <w:rStyle w:val="9"/>
          <w:rFonts w:hint="default" w:ascii="仿宋_GB2312" w:hAnsi="仿宋_GB2312" w:eastAsia="仿宋_GB2312" w:cs="仿宋_GB2312"/>
          <w:b w:val="0"/>
          <w:i w:val="0"/>
          <w:caps w:val="0"/>
          <w:color w:val="000000"/>
          <w:spacing w:val="0"/>
          <w:w w:val="100"/>
          <w:kern w:val="0"/>
          <w:sz w:val="32"/>
          <w:szCs w:val="32"/>
          <w:lang w:val="en-US" w:eastAsia="zh-CN" w:bidi="ar-SA"/>
        </w:rPr>
      </w:pPr>
      <w:r>
        <w:rPr>
          <w:rStyle w:val="9"/>
          <w:rFonts w:hint="default" w:ascii="仿宋_GB2312" w:hAnsi="仿宋_GB2312" w:eastAsia="仿宋_GB2312" w:cs="仿宋_GB2312"/>
          <w:b w:val="0"/>
          <w:i w:val="0"/>
          <w:caps w:val="0"/>
          <w:color w:val="auto"/>
          <w:spacing w:val="0"/>
          <w:w w:val="100"/>
          <w:kern w:val="0"/>
          <w:sz w:val="32"/>
          <w:szCs w:val="32"/>
          <w:lang w:val="en-US" w:eastAsia="zh-CN" w:bidi="ar-SA"/>
        </w:rPr>
        <w:t>商贸流通企业具体为批发业、零售业、住宿业、餐</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饮业企业。</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楷体_GB2312" w:hAnsi="楷体_GB2312" w:eastAsia="楷体_GB2312" w:cs="楷体_GB2312"/>
          <w:b/>
          <w:i w:val="0"/>
          <w:caps w:val="0"/>
          <w:color w:val="000000"/>
          <w:spacing w:val="0"/>
          <w:w w:val="100"/>
          <w:kern w:val="2"/>
          <w:sz w:val="32"/>
          <w:szCs w:val="32"/>
          <w:lang w:val="en-US" w:eastAsia="zh-CN" w:bidi="ar-SA"/>
        </w:rPr>
      </w:pPr>
      <w:r>
        <w:rPr>
          <w:rStyle w:val="9"/>
          <w:rFonts w:hint="default" w:ascii="楷体_GB2312" w:hAnsi="楷体_GB2312" w:eastAsia="楷体_GB2312" w:cs="楷体_GB2312"/>
          <w:b/>
          <w:i w:val="0"/>
          <w:caps w:val="0"/>
          <w:color w:val="000000"/>
          <w:spacing w:val="0"/>
          <w:w w:val="100"/>
          <w:kern w:val="2"/>
          <w:sz w:val="32"/>
          <w:szCs w:val="32"/>
          <w:lang w:val="en-US" w:eastAsia="zh-CN" w:bidi="ar-SA"/>
        </w:rPr>
        <w:t>（二）鼓励发展的方式</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eastAsia" w:ascii="仿宋_GB2312" w:hAnsi="仿宋_GB2312" w:eastAsia="仿宋_GB2312" w:cs="仿宋_GB2312"/>
          <w:b/>
          <w:bCs/>
          <w:i w:val="0"/>
          <w:caps w:val="0"/>
          <w:color w:val="000000"/>
          <w:spacing w:val="0"/>
          <w:w w:val="100"/>
          <w:kern w:val="0"/>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0"/>
          <w:sz w:val="32"/>
          <w:szCs w:val="32"/>
          <w:lang w:val="en-US" w:eastAsia="zh-CN" w:bidi="ar-SA"/>
        </w:rPr>
        <w:t>1.财政补助</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（1）对上</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述鼓励发展对象之一的实行财政一次性补</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贴5万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元；</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（2）对</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认真做好联网直报的限额以上商贸企业统计工作人员给予</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100元/人</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/月的补贴；</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（3）设</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立商贸产业发展资金，对当年新增入统商贸企业年纳税额达</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到10万元至100万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的，给予所纳税额的</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15%奖</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励，当年新增入统商贸企业年纳税</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达到100万元200万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的，给予所纳税额</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的20%</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奖励，当年新增入统商贸企业年纳税额达</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到200万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元至</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500万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的，给予所纳税额</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的25%奖</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励，当年新增入统商贸企业年纳税额达</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到500万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以上的，给予所纳税额</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的30%奖</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励；</w:t>
      </w:r>
      <w:r>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t>入统第二年和第三年，</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按传统商贸政策奖励，即年纳税额</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达到10万元</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至</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100万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的，给予所纳税额</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的8%奖</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励，年纳税达</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到100万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元</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至200万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的，给予所纳税额</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的12%奖</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励，年纳税额达</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到200万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元</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至500万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的，给予所纳税额</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的16%奖</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励，年纳税额达</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到500万以</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上的，给予所纳税额</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的20%奖</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励。以上奖励符合多项扶持政策的，按照“从高不重复”的原则支持，确保区级不贴财力。</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（4）鼓励</w:t>
      </w:r>
      <w:r>
        <w:rPr>
          <w:rStyle w:val="9"/>
          <w:rFonts w:hint="eastAsia" w:eastAsia="仿宋_GB2312" w:cs="Times New Roman"/>
          <w:b w:val="0"/>
          <w:i w:val="0"/>
          <w:caps w:val="0"/>
          <w:color w:val="000000"/>
          <w:spacing w:val="0"/>
          <w:w w:val="100"/>
          <w:kern w:val="0"/>
          <w:sz w:val="32"/>
          <w:szCs w:val="32"/>
          <w:u w:val="none"/>
          <w:lang w:val="en-US" w:eastAsia="zh-CN" w:bidi="ar-SA"/>
        </w:rPr>
        <w:t>入库</w:t>
      </w:r>
      <w:r>
        <w:rPr>
          <w:rStyle w:val="9"/>
          <w:rFonts w:hint="default" w:ascii="Times New Roman" w:hAnsi="Times New Roman" w:eastAsia="仿宋_GB2312" w:cs="Times New Roman"/>
          <w:b w:val="0"/>
          <w:i w:val="0"/>
          <w:caps w:val="0"/>
          <w:color w:val="000000"/>
          <w:spacing w:val="0"/>
          <w:w w:val="100"/>
          <w:kern w:val="0"/>
          <w:sz w:val="32"/>
          <w:szCs w:val="32"/>
          <w:u w:val="none"/>
          <w:lang w:val="en-US" w:eastAsia="zh-CN" w:bidi="ar-SA"/>
        </w:rPr>
        <w:t>限</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上商贸企业发展壮大，凡批发业年销售额首次突</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破3000万元</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的企业，给予一次性奖</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励1万元</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之后年销售额每新增1000万元，奖励1万元；零售业年销售额首次突破750万元的企业，给予一次性奖励1万元，之后年销售额每新增250万元，奖励1万元；住餐业年营业额首次突破300万元的企业，给予一次性奖励1万元，之后年营业额每新增100万元，奖励1万元。</w:t>
      </w:r>
      <w:r>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t>单个企业单次奖励累计</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不超过10万元，且奖励</w:t>
      </w:r>
      <w:r>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t>金额</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不超过扶持后区级财政留存部分。</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仿宋_GB2312" w:hAnsi="仿宋_GB2312" w:eastAsia="仿宋_GB2312" w:cs="仿宋_GB2312"/>
          <w:b/>
          <w:bCs/>
          <w:i w:val="0"/>
          <w:caps w:val="0"/>
          <w:color w:val="000000"/>
          <w:spacing w:val="0"/>
          <w:w w:val="100"/>
          <w:kern w:val="0"/>
          <w:sz w:val="32"/>
          <w:szCs w:val="32"/>
          <w:lang w:val="en-US" w:eastAsia="zh-CN" w:bidi="ar-SA"/>
        </w:rPr>
      </w:pPr>
      <w:r>
        <w:rPr>
          <w:rStyle w:val="9"/>
          <w:rFonts w:hint="default" w:ascii="仿宋_GB2312" w:hAnsi="仿宋_GB2312" w:eastAsia="仿宋_GB2312" w:cs="仿宋_GB2312"/>
          <w:b/>
          <w:bCs/>
          <w:i w:val="0"/>
          <w:caps w:val="0"/>
          <w:color w:val="000000"/>
          <w:spacing w:val="0"/>
          <w:w w:val="100"/>
          <w:kern w:val="0"/>
          <w:sz w:val="32"/>
          <w:szCs w:val="32"/>
          <w:lang w:val="en-US" w:eastAsia="zh-CN" w:bidi="ar-SA"/>
        </w:rPr>
        <w:t>2.政策扶持</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（1）纳</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入限额以上商贸企业优先享有国家、省和市有关扶持商贸业发展专项资金的项目申报。</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（2）将符</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合条件的限额以上商贸企业优先纳入政府采购、定点消费范畴。</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（3）对</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要求转型升级的个体户，由区</w:t>
      </w:r>
      <w:r>
        <w:rPr>
          <w:rStyle w:val="9"/>
          <w:rFonts w:hint="eastAsia" w:eastAsia="仿宋_GB2312" w:cs="Times New Roman"/>
          <w:b w:val="0"/>
          <w:i w:val="0"/>
          <w:caps w:val="0"/>
          <w:color w:val="000000"/>
          <w:spacing w:val="0"/>
          <w:w w:val="100"/>
          <w:kern w:val="0"/>
          <w:sz w:val="32"/>
          <w:szCs w:val="32"/>
          <w:lang w:val="en-US" w:eastAsia="zh-CN" w:bidi="ar-SA"/>
        </w:rPr>
        <w:t>市管局</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专门设立“绿色通道”，协同区</w:t>
      </w:r>
      <w:r>
        <w:rPr>
          <w:rStyle w:val="9"/>
          <w:rFonts w:hint="eastAsia" w:eastAsia="仿宋_GB2312" w:cs="Times New Roman"/>
          <w:b w:val="0"/>
          <w:i w:val="0"/>
          <w:caps w:val="0"/>
          <w:color w:val="000000"/>
          <w:spacing w:val="0"/>
          <w:w w:val="100"/>
          <w:kern w:val="0"/>
          <w:sz w:val="32"/>
          <w:szCs w:val="32"/>
          <w:lang w:val="en-US" w:eastAsia="zh-CN" w:bidi="ar-SA"/>
        </w:rPr>
        <w:t>商务局</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提供便捷服务，予以尽快注册。</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（4）优先推</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荐限额以上商贸企业参加相关部门组织的各项评比活动，并对年销售额第一名的批发业、零售业，营业额第一名的住宿业、餐饮业商贸入统企业进行表彰。</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（5）已享</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受奖励政策的大个体退库后，又以公司类型</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（2020年10月以</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前注册的老企业）重新入统的商贸企业，给予一次性</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奖励1万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元。</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eastAsia" w:ascii="仿宋_GB2312" w:hAnsi="仿宋_GB2312" w:eastAsia="仿宋_GB2312" w:cs="仿宋_GB2312"/>
          <w:b/>
          <w:bCs/>
          <w:i w:val="0"/>
          <w:caps w:val="0"/>
          <w:color w:val="000000"/>
          <w:spacing w:val="0"/>
          <w:w w:val="100"/>
          <w:kern w:val="0"/>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0"/>
          <w:sz w:val="32"/>
          <w:szCs w:val="32"/>
          <w:lang w:val="en-US" w:eastAsia="zh-CN" w:bidi="ar-SA"/>
        </w:rPr>
        <w:t>3.其他</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仿宋_GB2312" w:hAnsi="仿宋_GB2312" w:eastAsia="仿宋_GB2312" w:cs="仿宋_GB2312"/>
          <w:b w:val="0"/>
          <w:i w:val="0"/>
          <w:caps w:val="0"/>
          <w:color w:val="000000"/>
          <w:spacing w:val="0"/>
          <w:w w:val="100"/>
          <w:kern w:val="0"/>
          <w:sz w:val="32"/>
          <w:szCs w:val="32"/>
          <w:lang w:val="en-US" w:eastAsia="zh-CN" w:bidi="ar-SA"/>
        </w:rPr>
      </w:pP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对商贸入统企业由区政府统一发放牌匾，牌匾样式见附件</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黑体" w:cs="Times New Roman"/>
          <w:b w:val="0"/>
          <w:bCs w:val="0"/>
          <w:i w:val="0"/>
          <w:caps w:val="0"/>
          <w:color w:val="000000"/>
          <w:spacing w:val="0"/>
          <w:w w:val="100"/>
          <w:kern w:val="0"/>
          <w:sz w:val="32"/>
          <w:szCs w:val="32"/>
          <w:lang w:val="en-US" w:eastAsia="zh-CN" w:bidi="ar-SA"/>
        </w:rPr>
      </w:pPr>
      <w:r>
        <w:rPr>
          <w:rStyle w:val="9"/>
          <w:rFonts w:hint="default" w:ascii="Times New Roman" w:hAnsi="Times New Roman" w:eastAsia="黑体" w:cs="Times New Roman"/>
          <w:b w:val="0"/>
          <w:bCs w:val="0"/>
          <w:i w:val="0"/>
          <w:caps w:val="0"/>
          <w:color w:val="000000"/>
          <w:spacing w:val="0"/>
          <w:w w:val="100"/>
          <w:kern w:val="0"/>
          <w:sz w:val="32"/>
          <w:szCs w:val="32"/>
          <w:lang w:val="en-US" w:eastAsia="zh-CN" w:bidi="ar-SA"/>
        </w:rPr>
        <w:t>五、申报程序及审定机构</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eastAsia" w:ascii="仿宋_GB2312" w:hAnsi="仿宋_GB2312" w:eastAsia="仿宋_GB2312" w:cs="仿宋_GB2312"/>
          <w:b w:val="0"/>
          <w:i w:val="0"/>
          <w:caps w:val="0"/>
          <w:color w:val="000000"/>
          <w:spacing w:val="0"/>
          <w:w w:val="100"/>
          <w:kern w:val="0"/>
          <w:sz w:val="32"/>
          <w:szCs w:val="32"/>
          <w:lang w:val="en-US" w:eastAsia="zh-CN" w:bidi="ar-SA"/>
        </w:rPr>
        <w:t>1.新增</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的限额以上商贸企业的一次性补贴。新增入统企业(含大个体)以国家统计局确认入库为准，区统计局核定名单后，由区税务局、区财政局核定税收，区商务局报区政府审定，区财政局拨付划拨补贴资金。</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2.统计</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人员报送数据补贴。限上企业统计人员经区商务局、</w:t>
      </w:r>
      <w:r>
        <w:rPr>
          <w:rStyle w:val="9"/>
          <w:rFonts w:hint="eastAsia" w:eastAsia="仿宋_GB2312" w:cs="Times New Roman"/>
          <w:b w:val="0"/>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统计局、</w:t>
      </w:r>
      <w:r>
        <w:rPr>
          <w:rStyle w:val="9"/>
          <w:rFonts w:hint="eastAsia" w:eastAsia="仿宋_GB2312" w:cs="Times New Roman"/>
          <w:b w:val="0"/>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税务局核定，报区政府审定，由区财政局拨付划拨补贴资金兑现。</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3.销售</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额增长达标奖励。批发业年销售额首次突</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破3000万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元以上的限上企业，零售业年销售额首次</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突破750万</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元的限上企业，住餐业年营业额首次突</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破300万元</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的限上企业，由企业提供相关统计联网直报数据、财务数据及纳税凭证资料等，由区统计局、</w:t>
      </w:r>
      <w:r>
        <w:rPr>
          <w:rStyle w:val="9"/>
          <w:rFonts w:hint="eastAsia" w:eastAsia="仿宋_GB2312" w:cs="Times New Roman"/>
          <w:b w:val="0"/>
          <w:i w:val="0"/>
          <w:caps w:val="0"/>
          <w:color w:val="000000"/>
          <w:spacing w:val="0"/>
          <w:w w:val="100"/>
          <w:kern w:val="0"/>
          <w:sz w:val="32"/>
          <w:szCs w:val="32"/>
          <w:lang w:val="en-US" w:eastAsia="zh-CN" w:bidi="ar-SA"/>
        </w:rPr>
        <w:t>区</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税务局核定后，区商务局报区政府审定，区财政局拨付划拨奖励资金。</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本</w:t>
      </w:r>
      <w:r>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t>意见</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由区商务局负责</w:t>
      </w:r>
      <w:r>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t>具体</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解释，</w:t>
      </w:r>
      <w:r>
        <w:rPr>
          <w:rStyle w:val="9"/>
          <w:rFonts w:hint="default" w:ascii="仿宋_GB2312" w:hAnsi="仿宋_GB2312" w:eastAsia="仿宋_GB2312" w:cs="仿宋_GB2312"/>
          <w:b w:val="0"/>
          <w:i w:val="0"/>
          <w:caps w:val="0"/>
          <w:color w:val="000000"/>
          <w:spacing w:val="0"/>
          <w:w w:val="100"/>
          <w:kern w:val="0"/>
          <w:sz w:val="32"/>
          <w:szCs w:val="32"/>
          <w:lang w:val="en-US" w:eastAsia="zh-CN" w:bidi="ar-SA"/>
        </w:rPr>
        <w:t>自2021年1月1日</w:t>
      </w:r>
      <w:r>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t>起实行。</w:t>
      </w:r>
    </w:p>
    <w:p>
      <w:pPr>
        <w:widowControl/>
        <w:shd w:val="clear" w:color="auto" w:fill="FFFFFF"/>
        <w:tabs>
          <w:tab w:val="left" w:pos="8505"/>
        </w:tabs>
        <w:wordWrap/>
        <w:adjustRightInd/>
        <w:snapToGrid w:val="0"/>
        <w:spacing w:before="0" w:beforeAutospacing="0" w:after="0" w:afterAutospacing="0" w:line="540" w:lineRule="exact"/>
        <w:ind w:right="85" w:firstLine="632"/>
        <w:jc w:val="left"/>
        <w:textAlignment w:val="baseline"/>
        <w:rPr>
          <w:rStyle w:val="9"/>
          <w:rFonts w:hint="default" w:ascii="Times New Roman" w:hAnsi="Times New Roman" w:eastAsia="仿宋_GB2312" w:cs="Times New Roman"/>
          <w:b w:val="0"/>
          <w:i w:val="0"/>
          <w:caps w:val="0"/>
          <w:color w:val="000000"/>
          <w:spacing w:val="0"/>
          <w:w w:val="100"/>
          <w:kern w:val="0"/>
          <w:sz w:val="32"/>
          <w:szCs w:val="32"/>
          <w:lang w:val="en-US" w:eastAsia="zh-CN" w:bidi="ar-SA"/>
        </w:rPr>
      </w:pPr>
    </w:p>
    <w:p>
      <w:pPr>
        <w:widowControl/>
        <w:shd w:val="clear" w:color="auto" w:fill="FFFFFF"/>
        <w:tabs>
          <w:tab w:val="left" w:pos="8505"/>
        </w:tabs>
        <w:wordWrap/>
        <w:adjustRightInd/>
        <w:snapToGrid w:val="0"/>
        <w:spacing w:before="0" w:beforeAutospacing="0" w:after="0" w:afterAutospacing="0" w:line="540" w:lineRule="exact"/>
        <w:ind w:left="0" w:leftChars="0" w:right="85" w:firstLine="0" w:firstLineChars="0"/>
        <w:jc w:val="left"/>
        <w:textAlignment w:val="baseline"/>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pPr>
      <w:r>
        <w:rPr>
          <w:rStyle w:val="9"/>
          <w:rFonts w:hint="eastAsia" w:eastAsia="仿宋_GB2312" w:cs="Times New Roman"/>
          <w:b w:val="0"/>
          <w:i w:val="0"/>
          <w:caps w:val="0"/>
          <w:color w:val="000000"/>
          <w:spacing w:val="0"/>
          <w:w w:val="100"/>
          <w:kern w:val="0"/>
          <w:sz w:val="32"/>
          <w:szCs w:val="32"/>
          <w:lang w:val="en-US" w:eastAsia="zh-CN" w:bidi="ar-SA"/>
        </w:rPr>
        <w:t>附件</w:t>
      </w:r>
      <w:r>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t>：</w:t>
      </w:r>
      <w:r>
        <w:rPr>
          <w:rStyle w:val="9"/>
          <w:rFonts w:hint="eastAsia" w:ascii="仿宋_GB2312" w:hAnsi="仿宋_GB2312" w:eastAsia="仿宋_GB2312" w:cs="仿宋_GB2312"/>
          <w:b w:val="0"/>
          <w:i w:val="0"/>
          <w:caps w:val="0"/>
          <w:color w:val="000000"/>
          <w:spacing w:val="0"/>
          <w:w w:val="100"/>
          <w:kern w:val="0"/>
          <w:sz w:val="32"/>
          <w:szCs w:val="32"/>
          <w:lang w:val="en-US" w:eastAsia="zh-CN" w:bidi="ar-SA"/>
        </w:rPr>
        <w:t>信州区</w:t>
      </w:r>
      <w:r>
        <w:rPr>
          <w:rStyle w:val="9"/>
          <w:rFonts w:hint="eastAsia" w:ascii="Times New Roman" w:hAnsi="Times New Roman" w:eastAsia="仿宋_GB2312" w:cs="Times New Roman"/>
          <w:b w:val="0"/>
          <w:i w:val="0"/>
          <w:caps w:val="0"/>
          <w:color w:val="000000"/>
          <w:spacing w:val="0"/>
          <w:w w:val="100"/>
          <w:kern w:val="0"/>
          <w:sz w:val="32"/>
          <w:szCs w:val="32"/>
          <w:lang w:val="en-US" w:eastAsia="zh-CN" w:bidi="ar-SA"/>
        </w:rPr>
        <w:t>商贸入统企业牌匾样式</w:t>
      </w:r>
    </w:p>
    <w:p>
      <w:pPr>
        <w:widowControl/>
        <w:shd w:val="clear" w:color="auto" w:fill="FFFFFF"/>
        <w:tabs>
          <w:tab w:val="left" w:pos="8505"/>
        </w:tabs>
        <w:snapToGrid w:val="0"/>
        <w:spacing w:before="0" w:beforeAutospacing="0" w:after="0" w:afterAutospacing="0" w:line="560" w:lineRule="exact"/>
        <w:ind w:right="85"/>
        <w:jc w:val="center"/>
        <w:textAlignment w:val="baseline"/>
        <w:rPr>
          <w:rStyle w:val="9"/>
          <w:rFonts w:hint="eastAsia" w:ascii="黑体" w:hAnsi="黑体" w:eastAsia="黑体" w:cs="黑体"/>
          <w:b/>
          <w:i w:val="0"/>
          <w:caps w:val="0"/>
          <w:spacing w:val="0"/>
          <w:w w:val="100"/>
          <w:kern w:val="0"/>
          <w:sz w:val="32"/>
          <w:szCs w:val="32"/>
          <w:lang w:val="en-US" w:eastAsia="zh-CN" w:bidi="ar-SA"/>
        </w:rPr>
      </w:pPr>
      <w:r>
        <w:rPr>
          <w:rStyle w:val="9"/>
          <w:rFonts w:hint="eastAsia" w:ascii="黑体" w:hAnsi="黑体" w:eastAsia="黑体" w:cs="黑体"/>
          <w:b w:val="0"/>
          <w:i w:val="0"/>
          <w:caps w:val="0"/>
          <w:color w:val="000000"/>
          <w:spacing w:val="0"/>
          <w:w w:val="100"/>
          <w:kern w:val="0"/>
          <w:sz w:val="32"/>
          <w:szCs w:val="32"/>
          <w:lang w:val="en-US" w:eastAsia="zh-CN" w:bidi="ar-SA"/>
        </w:rPr>
        <w:t>信州区商贸入统企业牌匾样式</w:t>
      </w: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r>
        <w:rPr>
          <w:rFonts w:ascii="Times New Roman" w:hAnsi="Times New Roman" w:eastAsia="宋体" w:cs="Times New Roman"/>
          <w:kern w:val="2"/>
          <w:sz w:val="36"/>
          <w:szCs w:val="22"/>
          <w:lang w:val="en-US" w:eastAsia="zh-CN" w:bidi="ar-SA"/>
        </w:rPr>
        <w:pict>
          <v:shape id="_x0000_s1026" o:spid="_x0000_s1028" type="#_x0000_t202" style="position:absolute;left:0;margin-left:53.1pt;margin-top:9.1pt;height:126.15pt;width:356.7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inset="7.21pt,8.50pt,7.21pt,3.60pt">
              <w:txbxContent>
                <w:p>
                  <w:pPr>
                    <w:widowControl/>
                    <w:tabs>
                      <w:tab w:val="left" w:pos="8505"/>
                    </w:tabs>
                    <w:wordWrap/>
                    <w:adjustRightInd/>
                    <w:snapToGrid w:val="0"/>
                    <w:spacing w:before="0" w:beforeAutospacing="0" w:after="0" w:afterAutospacing="0" w:line="560" w:lineRule="exact"/>
                    <w:ind w:right="85"/>
                    <w:jc w:val="center"/>
                    <w:textAlignment w:val="baseline"/>
                    <w:rPr>
                      <w:rStyle w:val="9"/>
                      <w:rFonts w:hint="default" w:ascii="Times New Roman" w:hAnsi="Times New Roman" w:eastAsia="黑体" w:cs="Times New Roman"/>
                      <w:b w:val="0"/>
                      <w:i w:val="0"/>
                      <w:caps w:val="0"/>
                      <w:spacing w:val="0"/>
                      <w:w w:val="100"/>
                      <w:kern w:val="0"/>
                      <w:sz w:val="32"/>
                      <w:szCs w:val="32"/>
                      <w:lang w:val="en-US" w:eastAsia="zh-CN" w:bidi="ar-SA"/>
                    </w:rPr>
                  </w:pPr>
                  <w:r>
                    <w:rPr>
                      <w:rFonts w:hint="default" w:ascii="Times New Roman" w:hAnsi="Times New Roman" w:eastAsia="宋体" w:cs="Times New Roman"/>
                      <w:kern w:val="2"/>
                      <w:sz w:val="24"/>
                      <w:szCs w:val="24"/>
                      <w:lang w:val="en-US" w:eastAsia="zh-CN" w:bidi="ar-SA"/>
                    </w:rPr>
                    <w:pict>
                      <v:shape id="图片框 1028" o:spid="_x0000_s1029" type="#_x0000_t75" style="height:23.85pt;width:25.8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Style w:val="9"/>
                      <w:rFonts w:hint="default" w:ascii="Times New Roman" w:hAnsi="Times New Roman" w:eastAsia="黑体" w:cs="Times New Roman"/>
                      <w:b w:val="0"/>
                      <w:i w:val="0"/>
                      <w:caps w:val="0"/>
                      <w:spacing w:val="0"/>
                      <w:w w:val="100"/>
                      <w:kern w:val="0"/>
                      <w:sz w:val="32"/>
                      <w:szCs w:val="32"/>
                      <w:lang w:val="en-US" w:eastAsia="zh-CN" w:bidi="ar-SA"/>
                    </w:rPr>
                    <w:t>国家联网直报</w:t>
                  </w:r>
                </w:p>
                <w:p>
                  <w:pPr>
                    <w:widowControl/>
                    <w:tabs>
                      <w:tab w:val="left" w:pos="8505"/>
                    </w:tabs>
                    <w:wordWrap/>
                    <w:adjustRightInd/>
                    <w:snapToGrid w:val="0"/>
                    <w:spacing w:before="0" w:beforeAutospacing="0" w:after="0" w:afterAutospacing="0" w:line="560" w:lineRule="exact"/>
                    <w:ind w:right="85"/>
                    <w:jc w:val="center"/>
                    <w:textAlignment w:val="baseline"/>
                    <w:rPr>
                      <w:rStyle w:val="9"/>
                      <w:rFonts w:hint="default" w:ascii="Times New Roman" w:hAnsi="Times New Roman" w:eastAsia="黑体" w:cs="Times New Roman"/>
                      <w:b w:val="0"/>
                      <w:i w:val="0"/>
                      <w:caps w:val="0"/>
                      <w:spacing w:val="0"/>
                      <w:w w:val="100"/>
                      <w:kern w:val="0"/>
                      <w:sz w:val="32"/>
                      <w:szCs w:val="32"/>
                      <w:lang w:val="en-US" w:eastAsia="zh-CN" w:bidi="ar-SA"/>
                    </w:rPr>
                  </w:pPr>
                  <w:r>
                    <w:rPr>
                      <w:rStyle w:val="9"/>
                      <w:rFonts w:hint="default" w:ascii="Times New Roman" w:hAnsi="Times New Roman" w:eastAsia="黑体" w:cs="Times New Roman"/>
                      <w:b w:val="0"/>
                      <w:i w:val="0"/>
                      <w:caps w:val="0"/>
                      <w:spacing w:val="0"/>
                      <w:w w:val="100"/>
                      <w:kern w:val="0"/>
                      <w:sz w:val="32"/>
                      <w:szCs w:val="32"/>
                      <w:lang w:val="en-US" w:eastAsia="zh-CN" w:bidi="ar-SA"/>
                    </w:rPr>
                    <w:t>限额以上批发业企业</w:t>
                  </w:r>
                </w:p>
                <w:p>
                  <w:pPr>
                    <w:widowControl/>
                    <w:tabs>
                      <w:tab w:val="left" w:pos="8505"/>
                    </w:tabs>
                    <w:wordWrap/>
                    <w:adjustRightInd/>
                    <w:snapToGrid w:val="0"/>
                    <w:spacing w:before="0" w:beforeAutospacing="0" w:after="0" w:afterAutospacing="0" w:line="560" w:lineRule="exact"/>
                    <w:ind w:right="85" w:firstLine="3840" w:firstLineChars="1200"/>
                    <w:jc w:val="both"/>
                    <w:textAlignment w:val="baseline"/>
                    <w:rPr>
                      <w:rStyle w:val="9"/>
                      <w:rFonts w:hint="default" w:ascii="Times New Roman" w:hAnsi="Times New Roman" w:eastAsia="黑体" w:cs="Times New Roman"/>
                      <w:b w:val="0"/>
                      <w:i w:val="0"/>
                      <w:caps w:val="0"/>
                      <w:spacing w:val="0"/>
                      <w:w w:val="100"/>
                      <w:kern w:val="0"/>
                      <w:sz w:val="32"/>
                      <w:szCs w:val="32"/>
                      <w:lang w:val="en-US" w:eastAsia="zh-CN" w:bidi="ar-SA"/>
                    </w:rPr>
                  </w:pPr>
                  <w:r>
                    <w:rPr>
                      <w:rStyle w:val="9"/>
                      <w:rFonts w:hint="default" w:ascii="Times New Roman" w:hAnsi="Times New Roman" w:eastAsia="黑体" w:cs="Times New Roman"/>
                      <w:b w:val="0"/>
                      <w:i w:val="0"/>
                      <w:caps w:val="0"/>
                      <w:spacing w:val="0"/>
                      <w:w w:val="100"/>
                      <w:kern w:val="0"/>
                      <w:sz w:val="32"/>
                      <w:szCs w:val="32"/>
                      <w:lang w:val="en-US" w:eastAsia="zh-CN" w:bidi="ar-SA"/>
                    </w:rPr>
                    <w:t>信州区人民政府</w:t>
                  </w:r>
                </w:p>
                <w:p>
                  <w:pPr>
                    <w:widowControl/>
                    <w:wordWrap/>
                    <w:adjustRightInd/>
                    <w:spacing w:line="560" w:lineRule="exact"/>
                    <w:ind w:firstLine="3840" w:firstLineChars="1200"/>
                    <w:jc w:val="both"/>
                    <w:textAlignment w:val="baseline"/>
                  </w:pPr>
                  <w:r>
                    <w:rPr>
                      <w:rStyle w:val="9"/>
                      <w:rFonts w:hint="default" w:ascii="Times New Roman" w:hAnsi="Times New Roman" w:eastAsia="黑体" w:cs="Times New Roman"/>
                      <w:b w:val="0"/>
                      <w:i w:val="0"/>
                      <w:caps w:val="0"/>
                      <w:spacing w:val="0"/>
                      <w:w w:val="100"/>
                      <w:kern w:val="0"/>
                      <w:sz w:val="32"/>
                      <w:szCs w:val="32"/>
                      <w:lang w:val="en-US" w:eastAsia="zh-CN" w:bidi="ar-SA"/>
                    </w:rPr>
                    <w:t>2021年  月  日</w:t>
                  </w:r>
                </w:p>
              </w:txbxContent>
            </v:textbox>
          </v:shape>
        </w:pict>
      </w: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r>
        <w:rPr>
          <w:rFonts w:ascii="Times New Roman" w:hAnsi="Times New Roman" w:eastAsia="宋体" w:cs="Times New Roman"/>
          <w:kern w:val="2"/>
          <w:sz w:val="36"/>
          <w:szCs w:val="22"/>
          <w:lang w:val="en-US" w:eastAsia="zh-CN" w:bidi="ar-SA"/>
        </w:rPr>
        <w:pict>
          <v:shape id="_x0000_s1027" o:spid="_x0000_s1030" type="#_x0000_t202" style="position:absolute;left:0;margin-left:53.4pt;margin-top:11.15pt;height:128.25pt;width:356.7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inset="7.21pt,8.50pt,7.21pt,3.60pt">
              <w:txbxContent>
                <w:p>
                  <w:pPr>
                    <w:widowControl/>
                    <w:tabs>
                      <w:tab w:val="left" w:pos="8505"/>
                    </w:tabs>
                    <w:wordWrap/>
                    <w:adjustRightInd/>
                    <w:snapToGrid w:val="0"/>
                    <w:spacing w:before="0" w:beforeAutospacing="0" w:after="0" w:afterAutospacing="0" w:line="560" w:lineRule="exact"/>
                    <w:ind w:right="85"/>
                    <w:jc w:val="center"/>
                    <w:textAlignment w:val="baseline"/>
                    <w:rPr>
                      <w:rStyle w:val="9"/>
                      <w:rFonts w:hint="default" w:ascii="Times New Roman" w:hAnsi="Times New Roman" w:eastAsia="黑体" w:cs="Times New Roman"/>
                      <w:b w:val="0"/>
                      <w:i w:val="0"/>
                      <w:caps w:val="0"/>
                      <w:spacing w:val="0"/>
                      <w:w w:val="100"/>
                      <w:kern w:val="0"/>
                      <w:sz w:val="32"/>
                      <w:szCs w:val="32"/>
                      <w:lang w:val="en-US" w:eastAsia="zh-CN" w:bidi="ar-SA"/>
                    </w:rPr>
                  </w:pPr>
                  <w:r>
                    <w:rPr>
                      <w:rFonts w:hint="default" w:ascii="Times New Roman" w:hAnsi="Times New Roman" w:eastAsia="宋体" w:cs="Times New Roman"/>
                      <w:kern w:val="2"/>
                      <w:sz w:val="24"/>
                      <w:szCs w:val="24"/>
                      <w:lang w:val="en-US" w:eastAsia="zh-CN" w:bidi="ar-SA"/>
                    </w:rPr>
                    <w:pict>
                      <v:shape id="图片框 1030" o:spid="_x0000_s1031" type="#_x0000_t75" style="height:23.85pt;width:25.8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Style w:val="9"/>
                      <w:rFonts w:hint="default" w:ascii="Times New Roman" w:hAnsi="Times New Roman" w:eastAsia="黑体" w:cs="Times New Roman"/>
                      <w:b w:val="0"/>
                      <w:i w:val="0"/>
                      <w:caps w:val="0"/>
                      <w:spacing w:val="0"/>
                      <w:w w:val="100"/>
                      <w:kern w:val="0"/>
                      <w:sz w:val="32"/>
                      <w:szCs w:val="32"/>
                      <w:lang w:val="en-US" w:eastAsia="zh-CN" w:bidi="ar-SA"/>
                    </w:rPr>
                    <w:t>国家联网直报</w:t>
                  </w:r>
                </w:p>
                <w:p>
                  <w:pPr>
                    <w:widowControl/>
                    <w:tabs>
                      <w:tab w:val="left" w:pos="8505"/>
                    </w:tabs>
                    <w:snapToGrid w:val="0"/>
                    <w:spacing w:before="0" w:beforeAutospacing="0" w:after="0" w:afterAutospacing="0" w:line="560" w:lineRule="exact"/>
                    <w:ind w:right="85"/>
                    <w:jc w:val="center"/>
                    <w:textAlignment w:val="baseline"/>
                    <w:rPr>
                      <w:rStyle w:val="9"/>
                      <w:rFonts w:hint="default" w:ascii="Times New Roman" w:hAnsi="Times New Roman" w:eastAsia="黑体" w:cs="Times New Roman"/>
                      <w:b w:val="0"/>
                      <w:i w:val="0"/>
                      <w:caps w:val="0"/>
                      <w:spacing w:val="0"/>
                      <w:w w:val="100"/>
                      <w:kern w:val="0"/>
                      <w:sz w:val="32"/>
                      <w:szCs w:val="32"/>
                      <w:lang w:val="en-US" w:eastAsia="zh-CN" w:bidi="ar-SA"/>
                    </w:rPr>
                  </w:pPr>
                  <w:r>
                    <w:rPr>
                      <w:rStyle w:val="9"/>
                      <w:rFonts w:hint="default" w:ascii="Times New Roman" w:hAnsi="Times New Roman" w:eastAsia="黑体" w:cs="Times New Roman"/>
                      <w:b w:val="0"/>
                      <w:i w:val="0"/>
                      <w:caps w:val="0"/>
                      <w:spacing w:val="0"/>
                      <w:w w:val="100"/>
                      <w:kern w:val="0"/>
                      <w:sz w:val="32"/>
                      <w:szCs w:val="32"/>
                      <w:lang w:val="en-US" w:eastAsia="zh-CN" w:bidi="ar-SA"/>
                    </w:rPr>
                    <w:t>限额以上零售业企业</w:t>
                  </w:r>
                </w:p>
                <w:p>
                  <w:pPr>
                    <w:widowControl/>
                    <w:tabs>
                      <w:tab w:val="left" w:pos="8505"/>
                    </w:tabs>
                    <w:snapToGrid w:val="0"/>
                    <w:spacing w:before="0" w:beforeAutospacing="0" w:after="0" w:afterAutospacing="0" w:line="560" w:lineRule="exact"/>
                    <w:ind w:right="85" w:firstLine="3840" w:firstLineChars="1200"/>
                    <w:jc w:val="both"/>
                    <w:textAlignment w:val="baseline"/>
                    <w:rPr>
                      <w:rStyle w:val="9"/>
                      <w:rFonts w:hint="default" w:ascii="Times New Roman" w:hAnsi="Times New Roman" w:eastAsia="黑体" w:cs="Times New Roman"/>
                      <w:b w:val="0"/>
                      <w:i w:val="0"/>
                      <w:caps w:val="0"/>
                      <w:spacing w:val="0"/>
                      <w:w w:val="100"/>
                      <w:kern w:val="0"/>
                      <w:sz w:val="32"/>
                      <w:szCs w:val="32"/>
                      <w:lang w:val="en-US" w:eastAsia="zh-CN" w:bidi="ar-SA"/>
                    </w:rPr>
                  </w:pPr>
                  <w:r>
                    <w:rPr>
                      <w:rStyle w:val="9"/>
                      <w:rFonts w:hint="default" w:ascii="Times New Roman" w:hAnsi="Times New Roman" w:eastAsia="黑体" w:cs="Times New Roman"/>
                      <w:b w:val="0"/>
                      <w:i w:val="0"/>
                      <w:caps w:val="0"/>
                      <w:spacing w:val="0"/>
                      <w:w w:val="100"/>
                      <w:kern w:val="0"/>
                      <w:sz w:val="32"/>
                      <w:szCs w:val="32"/>
                      <w:lang w:val="en-US" w:eastAsia="zh-CN" w:bidi="ar-SA"/>
                    </w:rPr>
                    <w:t>信州区人民政府</w:t>
                  </w:r>
                </w:p>
                <w:p>
                  <w:pPr>
                    <w:ind w:firstLine="3840" w:firstLineChars="1200"/>
                    <w:jc w:val="both"/>
                  </w:pPr>
                  <w:r>
                    <w:rPr>
                      <w:rStyle w:val="9"/>
                      <w:rFonts w:hint="default" w:ascii="Times New Roman" w:hAnsi="Times New Roman" w:eastAsia="黑体" w:cs="Times New Roman"/>
                      <w:b w:val="0"/>
                      <w:i w:val="0"/>
                      <w:caps w:val="0"/>
                      <w:spacing w:val="0"/>
                      <w:w w:val="100"/>
                      <w:kern w:val="0"/>
                      <w:sz w:val="32"/>
                      <w:szCs w:val="32"/>
                      <w:lang w:val="en-US" w:eastAsia="zh-CN" w:bidi="ar-SA"/>
                    </w:rPr>
                    <w:t>2021年  月  日</w:t>
                  </w:r>
                </w:p>
              </w:txbxContent>
            </v:textbox>
          </v:shape>
        </w:pict>
      </w: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r>
        <w:rPr>
          <w:rFonts w:ascii="Times New Roman" w:hAnsi="Times New Roman" w:eastAsia="宋体" w:cs="Times New Roman"/>
          <w:kern w:val="2"/>
          <w:sz w:val="36"/>
          <w:szCs w:val="22"/>
          <w:lang w:val="en-US" w:eastAsia="zh-CN" w:bidi="ar-SA"/>
        </w:rPr>
        <w:pict>
          <v:shape id="_x0000_s1028" o:spid="_x0000_s1032" type="#_x0000_t202" style="position:absolute;left:0;margin-left:53.4pt;margin-top:16.4pt;height:128.2pt;width:356.7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inset="7.21pt,8.50pt,7.21pt,3.60pt">
              <w:txbxContent>
                <w:p>
                  <w:pPr>
                    <w:widowControl/>
                    <w:tabs>
                      <w:tab w:val="left" w:pos="8505"/>
                    </w:tabs>
                    <w:wordWrap/>
                    <w:adjustRightInd/>
                    <w:snapToGrid w:val="0"/>
                    <w:spacing w:before="0" w:beforeAutospacing="0" w:after="0" w:afterAutospacing="0" w:line="560" w:lineRule="exact"/>
                    <w:ind w:right="85"/>
                    <w:jc w:val="center"/>
                    <w:textAlignment w:val="baseline"/>
                    <w:rPr>
                      <w:rStyle w:val="9"/>
                      <w:rFonts w:hint="default" w:ascii="Times New Roman" w:hAnsi="Times New Roman" w:eastAsia="黑体" w:cs="Times New Roman"/>
                      <w:b w:val="0"/>
                      <w:i w:val="0"/>
                      <w:caps w:val="0"/>
                      <w:spacing w:val="0"/>
                      <w:w w:val="100"/>
                      <w:kern w:val="0"/>
                      <w:sz w:val="32"/>
                      <w:szCs w:val="32"/>
                      <w:lang w:val="en-US" w:eastAsia="zh-CN" w:bidi="ar-SA"/>
                    </w:rPr>
                  </w:pPr>
                  <w:r>
                    <w:rPr>
                      <w:rFonts w:hint="default" w:ascii="Times New Roman" w:hAnsi="Times New Roman" w:eastAsia="宋体" w:cs="Times New Roman"/>
                      <w:kern w:val="2"/>
                      <w:sz w:val="24"/>
                      <w:szCs w:val="24"/>
                      <w:lang w:val="en-US" w:eastAsia="zh-CN" w:bidi="ar-SA"/>
                    </w:rPr>
                    <w:pict>
                      <v:shape id="图片框 1032" o:spid="_x0000_s1033" type="#_x0000_t75" style="height:23.85pt;width:25.8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Style w:val="9"/>
                      <w:rFonts w:hint="default" w:ascii="Times New Roman" w:hAnsi="Times New Roman" w:eastAsia="黑体" w:cs="Times New Roman"/>
                      <w:b w:val="0"/>
                      <w:i w:val="0"/>
                      <w:caps w:val="0"/>
                      <w:spacing w:val="0"/>
                      <w:w w:val="100"/>
                      <w:kern w:val="0"/>
                      <w:sz w:val="32"/>
                      <w:szCs w:val="32"/>
                      <w:lang w:val="en-US" w:eastAsia="zh-CN" w:bidi="ar-SA"/>
                    </w:rPr>
                    <w:t>国家联网直报</w:t>
                  </w:r>
                </w:p>
                <w:p>
                  <w:pPr>
                    <w:widowControl/>
                    <w:tabs>
                      <w:tab w:val="left" w:pos="8505"/>
                    </w:tabs>
                    <w:snapToGrid w:val="0"/>
                    <w:spacing w:before="0" w:beforeAutospacing="0" w:after="0" w:afterAutospacing="0" w:line="560" w:lineRule="exact"/>
                    <w:ind w:right="85"/>
                    <w:jc w:val="center"/>
                    <w:textAlignment w:val="baseline"/>
                    <w:rPr>
                      <w:rStyle w:val="9"/>
                      <w:rFonts w:hint="default" w:ascii="Times New Roman" w:hAnsi="Times New Roman" w:eastAsia="黑体" w:cs="Times New Roman"/>
                      <w:b w:val="0"/>
                      <w:i w:val="0"/>
                      <w:caps w:val="0"/>
                      <w:spacing w:val="0"/>
                      <w:w w:val="100"/>
                      <w:kern w:val="0"/>
                      <w:sz w:val="32"/>
                      <w:szCs w:val="32"/>
                      <w:lang w:val="en-US" w:eastAsia="zh-CN" w:bidi="ar-SA"/>
                    </w:rPr>
                  </w:pPr>
                  <w:r>
                    <w:rPr>
                      <w:rStyle w:val="9"/>
                      <w:rFonts w:hint="default" w:ascii="Times New Roman" w:hAnsi="Times New Roman" w:eastAsia="黑体" w:cs="Times New Roman"/>
                      <w:b w:val="0"/>
                      <w:i w:val="0"/>
                      <w:caps w:val="0"/>
                      <w:spacing w:val="0"/>
                      <w:w w:val="100"/>
                      <w:kern w:val="0"/>
                      <w:sz w:val="32"/>
                      <w:szCs w:val="32"/>
                      <w:lang w:val="en-US" w:eastAsia="zh-CN" w:bidi="ar-SA"/>
                    </w:rPr>
                    <w:t>限额以上住宿业企业</w:t>
                  </w:r>
                </w:p>
                <w:p>
                  <w:pPr>
                    <w:widowControl/>
                    <w:tabs>
                      <w:tab w:val="left" w:pos="8505"/>
                    </w:tabs>
                    <w:snapToGrid w:val="0"/>
                    <w:spacing w:before="0" w:beforeAutospacing="0" w:after="0" w:afterAutospacing="0" w:line="560" w:lineRule="exact"/>
                    <w:ind w:right="85" w:firstLine="3840" w:firstLineChars="1200"/>
                    <w:jc w:val="both"/>
                    <w:textAlignment w:val="baseline"/>
                    <w:rPr>
                      <w:rStyle w:val="9"/>
                      <w:rFonts w:hint="default" w:ascii="Times New Roman" w:hAnsi="Times New Roman" w:eastAsia="黑体" w:cs="Times New Roman"/>
                      <w:b w:val="0"/>
                      <w:i w:val="0"/>
                      <w:caps w:val="0"/>
                      <w:spacing w:val="0"/>
                      <w:w w:val="100"/>
                      <w:kern w:val="0"/>
                      <w:sz w:val="32"/>
                      <w:szCs w:val="32"/>
                      <w:lang w:val="en-US" w:eastAsia="zh-CN" w:bidi="ar-SA"/>
                    </w:rPr>
                  </w:pPr>
                  <w:r>
                    <w:rPr>
                      <w:rStyle w:val="9"/>
                      <w:rFonts w:hint="default" w:ascii="Times New Roman" w:hAnsi="Times New Roman" w:eastAsia="黑体" w:cs="Times New Roman"/>
                      <w:b w:val="0"/>
                      <w:i w:val="0"/>
                      <w:caps w:val="0"/>
                      <w:spacing w:val="0"/>
                      <w:w w:val="100"/>
                      <w:kern w:val="0"/>
                      <w:sz w:val="32"/>
                      <w:szCs w:val="32"/>
                      <w:lang w:val="en-US" w:eastAsia="zh-CN" w:bidi="ar-SA"/>
                    </w:rPr>
                    <w:t>信州区人民政府</w:t>
                  </w:r>
                </w:p>
                <w:p>
                  <w:pPr>
                    <w:ind w:firstLine="3840" w:firstLineChars="1200"/>
                    <w:jc w:val="both"/>
                  </w:pPr>
                  <w:r>
                    <w:rPr>
                      <w:rStyle w:val="9"/>
                      <w:rFonts w:hint="default" w:ascii="Times New Roman" w:hAnsi="Times New Roman" w:eastAsia="黑体" w:cs="Times New Roman"/>
                      <w:b w:val="0"/>
                      <w:i w:val="0"/>
                      <w:caps w:val="0"/>
                      <w:spacing w:val="0"/>
                      <w:w w:val="100"/>
                      <w:kern w:val="0"/>
                      <w:sz w:val="32"/>
                      <w:szCs w:val="32"/>
                      <w:lang w:val="en-US" w:eastAsia="zh-CN" w:bidi="ar-SA"/>
                    </w:rPr>
                    <w:t>2021年  月  日</w:t>
                  </w:r>
                </w:p>
              </w:txbxContent>
            </v:textbox>
          </v:shape>
        </w:pict>
      </w: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r>
        <w:rPr>
          <w:rFonts w:ascii="Times New Roman" w:hAnsi="Times New Roman" w:eastAsia="宋体" w:cs="Times New Roman"/>
          <w:kern w:val="2"/>
          <w:sz w:val="36"/>
          <w:szCs w:val="22"/>
          <w:lang w:val="en-US" w:eastAsia="zh-CN" w:bidi="ar-SA"/>
        </w:rPr>
        <w:pict>
          <v:shape id="_x0000_s1031" o:spid="_x0000_s1034" type="#_x0000_t202" style="position:absolute;left:0;margin-left:53.4pt;margin-top:22.4pt;height:126.85pt;width:356.7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inset="7.21pt,8.50pt,7.21pt,3.60pt">
              <w:txbxContent>
                <w:p>
                  <w:pPr>
                    <w:widowControl/>
                    <w:tabs>
                      <w:tab w:val="left" w:pos="8505"/>
                    </w:tabs>
                    <w:wordWrap/>
                    <w:adjustRightInd/>
                    <w:snapToGrid w:val="0"/>
                    <w:spacing w:before="0" w:beforeAutospacing="0" w:after="0" w:afterAutospacing="0" w:line="560" w:lineRule="exact"/>
                    <w:ind w:right="85"/>
                    <w:jc w:val="center"/>
                    <w:textAlignment w:val="baseline"/>
                    <w:rPr>
                      <w:rStyle w:val="9"/>
                      <w:rFonts w:hint="default" w:ascii="Times New Roman" w:hAnsi="Times New Roman" w:eastAsia="黑体" w:cs="Times New Roman"/>
                      <w:b w:val="0"/>
                      <w:i w:val="0"/>
                      <w:caps w:val="0"/>
                      <w:spacing w:val="0"/>
                      <w:w w:val="100"/>
                      <w:kern w:val="0"/>
                      <w:sz w:val="32"/>
                      <w:szCs w:val="32"/>
                      <w:lang w:val="en-US" w:eastAsia="zh-CN" w:bidi="ar-SA"/>
                    </w:rPr>
                  </w:pPr>
                  <w:r>
                    <w:rPr>
                      <w:rFonts w:hint="default" w:ascii="Times New Roman" w:hAnsi="Times New Roman" w:eastAsia="宋体" w:cs="Times New Roman"/>
                      <w:kern w:val="2"/>
                      <w:sz w:val="24"/>
                      <w:szCs w:val="24"/>
                      <w:lang w:val="en-US" w:eastAsia="zh-CN" w:bidi="ar-SA"/>
                    </w:rPr>
                    <w:pict>
                      <v:shape id="图片框 1034" o:spid="_x0000_s1035" type="#_x0000_t75" style="height:23.85pt;width:25.8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Style w:val="9"/>
                      <w:rFonts w:hint="default" w:ascii="Times New Roman" w:hAnsi="Times New Roman" w:eastAsia="黑体" w:cs="Times New Roman"/>
                      <w:b w:val="0"/>
                      <w:i w:val="0"/>
                      <w:caps w:val="0"/>
                      <w:spacing w:val="0"/>
                      <w:w w:val="100"/>
                      <w:kern w:val="0"/>
                      <w:sz w:val="32"/>
                      <w:szCs w:val="32"/>
                      <w:lang w:val="en-US" w:eastAsia="zh-CN" w:bidi="ar-SA"/>
                    </w:rPr>
                    <w:t>国家联网直报</w:t>
                  </w:r>
                </w:p>
                <w:p>
                  <w:pPr>
                    <w:widowControl/>
                    <w:tabs>
                      <w:tab w:val="left" w:pos="8505"/>
                    </w:tabs>
                    <w:snapToGrid w:val="0"/>
                    <w:spacing w:before="0" w:beforeAutospacing="0" w:after="0" w:afterAutospacing="0" w:line="560" w:lineRule="exact"/>
                    <w:ind w:right="85"/>
                    <w:jc w:val="center"/>
                    <w:textAlignment w:val="baseline"/>
                    <w:rPr>
                      <w:rStyle w:val="9"/>
                      <w:rFonts w:hint="default" w:ascii="Times New Roman" w:hAnsi="Times New Roman" w:eastAsia="黑体" w:cs="Times New Roman"/>
                      <w:b w:val="0"/>
                      <w:i w:val="0"/>
                      <w:caps w:val="0"/>
                      <w:spacing w:val="0"/>
                      <w:w w:val="100"/>
                      <w:kern w:val="0"/>
                      <w:sz w:val="32"/>
                      <w:szCs w:val="32"/>
                      <w:lang w:val="en-US" w:eastAsia="zh-CN" w:bidi="ar-SA"/>
                    </w:rPr>
                  </w:pPr>
                  <w:r>
                    <w:rPr>
                      <w:rStyle w:val="9"/>
                      <w:rFonts w:hint="default" w:ascii="Times New Roman" w:hAnsi="Times New Roman" w:eastAsia="黑体" w:cs="Times New Roman"/>
                      <w:b w:val="0"/>
                      <w:i w:val="0"/>
                      <w:caps w:val="0"/>
                      <w:spacing w:val="0"/>
                      <w:w w:val="100"/>
                      <w:kern w:val="0"/>
                      <w:sz w:val="32"/>
                      <w:szCs w:val="32"/>
                      <w:lang w:val="en-US" w:eastAsia="zh-CN" w:bidi="ar-SA"/>
                    </w:rPr>
                    <w:t>限额以上餐饮业企业</w:t>
                  </w:r>
                </w:p>
                <w:p>
                  <w:pPr>
                    <w:widowControl/>
                    <w:tabs>
                      <w:tab w:val="left" w:pos="8505"/>
                    </w:tabs>
                    <w:snapToGrid w:val="0"/>
                    <w:spacing w:before="0" w:beforeAutospacing="0" w:after="0" w:afterAutospacing="0" w:line="560" w:lineRule="exact"/>
                    <w:ind w:right="85" w:firstLine="3840" w:firstLineChars="1200"/>
                    <w:jc w:val="both"/>
                    <w:textAlignment w:val="baseline"/>
                    <w:rPr>
                      <w:rStyle w:val="9"/>
                      <w:rFonts w:hint="default" w:ascii="Times New Roman" w:hAnsi="Times New Roman" w:eastAsia="黑体" w:cs="Times New Roman"/>
                      <w:b w:val="0"/>
                      <w:i w:val="0"/>
                      <w:caps w:val="0"/>
                      <w:spacing w:val="0"/>
                      <w:w w:val="100"/>
                      <w:kern w:val="0"/>
                      <w:sz w:val="32"/>
                      <w:szCs w:val="32"/>
                      <w:lang w:val="en-US" w:eastAsia="zh-CN" w:bidi="ar-SA"/>
                    </w:rPr>
                  </w:pPr>
                  <w:r>
                    <w:rPr>
                      <w:rStyle w:val="9"/>
                      <w:rFonts w:hint="default" w:ascii="Times New Roman" w:hAnsi="Times New Roman" w:eastAsia="黑体" w:cs="Times New Roman"/>
                      <w:b w:val="0"/>
                      <w:i w:val="0"/>
                      <w:caps w:val="0"/>
                      <w:spacing w:val="0"/>
                      <w:w w:val="100"/>
                      <w:kern w:val="0"/>
                      <w:sz w:val="32"/>
                      <w:szCs w:val="32"/>
                      <w:lang w:val="en-US" w:eastAsia="zh-CN" w:bidi="ar-SA"/>
                    </w:rPr>
                    <w:t>信州区人民政府</w:t>
                  </w:r>
                </w:p>
                <w:p>
                  <w:pPr>
                    <w:ind w:firstLine="3840" w:firstLineChars="1200"/>
                    <w:jc w:val="both"/>
                  </w:pPr>
                  <w:r>
                    <w:rPr>
                      <w:rStyle w:val="9"/>
                      <w:rFonts w:hint="default" w:ascii="Times New Roman" w:hAnsi="Times New Roman" w:eastAsia="黑体" w:cs="Times New Roman"/>
                      <w:b w:val="0"/>
                      <w:i w:val="0"/>
                      <w:caps w:val="0"/>
                      <w:spacing w:val="0"/>
                      <w:w w:val="100"/>
                      <w:kern w:val="0"/>
                      <w:sz w:val="32"/>
                      <w:szCs w:val="32"/>
                      <w:lang w:val="en-US" w:eastAsia="zh-CN" w:bidi="ar-SA"/>
                    </w:rPr>
                    <w:t>2021年  月  日</w:t>
                  </w:r>
                </w:p>
              </w:txbxContent>
            </v:textbox>
          </v:shape>
        </w:pict>
      </w: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pStyle w:val="2"/>
        <w:rPr>
          <w:rFonts w:hint="default"/>
          <w:lang w:val="en-US" w:eastAsia="zh-CN"/>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p>
    <w:p>
      <w:pPr>
        <w:widowControl/>
        <w:shd w:val="clear" w:color="auto" w:fill="FFFFFF"/>
        <w:tabs>
          <w:tab w:val="left" w:pos="8505"/>
        </w:tabs>
        <w:snapToGrid w:val="0"/>
        <w:spacing w:before="0" w:beforeAutospacing="0" w:after="0" w:afterAutospacing="0" w:line="560" w:lineRule="exact"/>
        <w:ind w:right="85"/>
        <w:jc w:val="left"/>
        <w:textAlignment w:val="baseline"/>
        <w:rPr>
          <w:rStyle w:val="9"/>
          <w:rFonts w:hint="default" w:ascii="Times New Roman" w:hAnsi="Times New Roman" w:eastAsia="宋体" w:cs="Times New Roman"/>
          <w:b/>
          <w:i w:val="0"/>
          <w:caps w:val="0"/>
          <w:spacing w:val="0"/>
          <w:w w:val="100"/>
          <w:kern w:val="0"/>
          <w:sz w:val="36"/>
          <w:szCs w:val="36"/>
          <w:lang w:val="en-US" w:eastAsia="zh-CN" w:bidi="ar-SA"/>
        </w:rPr>
      </w:pPr>
      <w:bookmarkStart w:id="1" w:name="_GoBack"/>
      <w:bookmarkEnd w:id="1"/>
    </w:p>
    <w:sectPr>
      <w:footerReference r:id="rId4" w:type="default"/>
      <w:pgSz w:w="11906" w:h="16838"/>
      <w:pgMar w:top="2098" w:right="1474" w:bottom="1984" w:left="1587" w:header="851" w:footer="992" w:gutter="0"/>
      <w:lnNumType w:countBy="0"/>
      <w:pgNumType w:fmt="numberInDash"/>
      <w:cols w:space="720" w:num="1"/>
      <w:docGrid w:type="lines" w:linePitch="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方正书宋_GBK">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widowControl/>
      <w:snapToGrid w:val="0"/>
      <w:jc w:val="center"/>
      <w:textAlignment w:val="baseline"/>
      <w:rPr>
        <w:rStyle w:val="9"/>
        <w:kern w:val="2"/>
        <w:sz w:val="18"/>
        <w:szCs w:val="22"/>
        <w:lang w:val="en-US" w:eastAsia="zh-CN" w:bidi="ar-SA"/>
      </w:rPr>
    </w:pPr>
    <w:r>
      <w:rPr>
        <w:rFonts w:ascii="Times New Roman" w:hAnsi="Times New Roman" w:eastAsia="宋体" w:cs="Times New Roman"/>
        <w:kern w:val="2"/>
        <w:sz w:val="18"/>
        <w:szCs w:val="22"/>
        <w:lang w:val="en-US" w:eastAsia="zh-CN" w:bidi="ar-SA"/>
      </w:rPr>
      <w:pict>
        <v:shape id="_x0000_s2049"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uiPriority w:val="0"/>
    <w:pPr>
      <w:jc w:val="both"/>
      <w:textAlignment w:val="baseline"/>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line="240" w:lineRule="auto"/>
      <w:outlineLvl w:val="1"/>
    </w:pPr>
    <w:rPr>
      <w:rFonts w:ascii="宋体" w:hAnsi="宋体" w:eastAsia="宋体" w:cs="Times New Roman"/>
      <w:bCs/>
      <w:spacing w:val="4"/>
      <w:kern w:val="2"/>
      <w:sz w:val="32"/>
      <w:szCs w:val="32"/>
      <w:lang w:val="en-US" w:eastAsia="zh-CN" w:bidi="ar-SA"/>
    </w:rPr>
  </w:style>
  <w:style w:type="character" w:default="1" w:styleId="7">
    <w:name w:val="Default Paragraph Font"/>
    <w:semiHidden/>
    <w:qFormat/>
    <w:uiPriority w:val="0"/>
  </w:style>
  <w:style w:type="paragraph" w:styleId="3">
    <w:name w:val="Body Text Indent"/>
    <w:basedOn w:val="1"/>
    <w:qFormat/>
    <w:uiPriority w:val="0"/>
    <w:pPr>
      <w:ind w:firstLine="640" w:firstLineChars="200"/>
    </w:pPr>
    <w:rPr>
      <w:rFonts w:ascii="仿宋_GB2312" w:eastAsia="仿宋_GB2312"/>
      <w:sz w:val="32"/>
    </w:rPr>
  </w:style>
  <w:style w:type="paragraph" w:styleId="4">
    <w:name w:val="Date"/>
    <w:basedOn w:val="1"/>
    <w:next w:val="1"/>
    <w:link w:val="16"/>
    <w:qFormat/>
    <w:uiPriority w:val="0"/>
    <w:pPr>
      <w:ind w:left="100" w:leftChars="2500"/>
      <w:jc w:val="both"/>
      <w:textAlignment w:val="baseline"/>
    </w:pPr>
  </w:style>
  <w:style w:type="paragraph" w:styleId="5">
    <w:name w:val="footer"/>
    <w:basedOn w:val="1"/>
    <w:qFormat/>
    <w:uiPriority w:val="0"/>
    <w:pPr>
      <w:tabs>
        <w:tab w:val="center" w:pos="4153"/>
        <w:tab w:val="right" w:pos="8306"/>
      </w:tabs>
      <w:snapToGrid w:val="0"/>
      <w:jc w:val="left"/>
      <w:textAlignment w:val="baseline"/>
    </w:pPr>
    <w:rPr>
      <w:kern w:val="2"/>
      <w:sz w:val="18"/>
      <w:szCs w:val="22"/>
      <w:lang w:val="en-US" w:eastAsia="zh-CN" w:bidi="ar-SA"/>
    </w:rPr>
  </w:style>
  <w:style w:type="paragraph" w:styleId="6">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jc w:val="both"/>
      <w:textAlignment w:val="baseline"/>
    </w:pPr>
    <w:rPr>
      <w:kern w:val="2"/>
      <w:sz w:val="18"/>
      <w:szCs w:val="22"/>
      <w:lang w:val="en-US" w:eastAsia="zh-CN" w:bidi="ar-SA"/>
    </w:rPr>
  </w:style>
  <w:style w:type="character" w:styleId="8">
    <w:name w:val="Strong"/>
    <w:basedOn w:val="9"/>
    <w:qFormat/>
    <w:uiPriority w:val="0"/>
    <w:rPr>
      <w:b/>
    </w:rPr>
  </w:style>
  <w:style w:type="character" w:customStyle="1" w:styleId="9">
    <w:name w:val="NormalCharacter"/>
    <w:qFormat/>
    <w:uiPriority w:val="0"/>
  </w:style>
  <w:style w:type="character" w:styleId="10">
    <w:name w:val="FollowedHyperlink"/>
    <w:basedOn w:val="9"/>
    <w:qFormat/>
    <w:uiPriority w:val="0"/>
    <w:rPr>
      <w:color w:val="333333"/>
    </w:rPr>
  </w:style>
  <w:style w:type="character" w:styleId="11">
    <w:name w:val="Emphasis"/>
    <w:basedOn w:val="9"/>
    <w:qFormat/>
    <w:uiPriority w:val="0"/>
    <w:rPr/>
  </w:style>
  <w:style w:type="character" w:styleId="12">
    <w:name w:val="Hyperlink"/>
    <w:basedOn w:val="9"/>
    <w:qFormat/>
    <w:uiPriority w:val="0"/>
    <w:rPr>
      <w:color w:val="333333"/>
    </w:rPr>
  </w:style>
  <w:style w:type="paragraph" w:customStyle="1" w:styleId="13">
    <w:name w:val="Heading1"/>
    <w:basedOn w:val="1"/>
    <w:link w:val="18"/>
    <w:qFormat/>
    <w:uiPriority w:val="0"/>
    <w:pPr>
      <w:widowControl/>
      <w:spacing w:before="100" w:beforeAutospacing="1" w:after="100" w:afterAutospacing="1"/>
      <w:jc w:val="left"/>
      <w:textAlignment w:val="baseline"/>
    </w:pPr>
    <w:rPr>
      <w:rFonts w:ascii="宋体" w:hAnsi="宋体" w:cs="宋体"/>
      <w:b/>
      <w:bCs/>
      <w:kern w:val="36"/>
      <w:sz w:val="48"/>
      <w:szCs w:val="48"/>
      <w:lang w:val="en-US" w:eastAsia="zh-CN" w:bidi="ar-SA"/>
    </w:rPr>
  </w:style>
  <w:style w:type="paragraph" w:customStyle="1" w:styleId="14">
    <w:name w:val="Acetate"/>
    <w:basedOn w:val="1"/>
    <w:link w:val="25"/>
    <w:qFormat/>
    <w:uiPriority w:val="0"/>
    <w:pPr>
      <w:jc w:val="both"/>
      <w:textAlignment w:val="baseline"/>
    </w:pPr>
    <w:rPr>
      <w:kern w:val="2"/>
      <w:sz w:val="18"/>
      <w:szCs w:val="18"/>
      <w:lang w:val="en-US" w:eastAsia="zh-CN" w:bidi="ar-SA"/>
    </w:rPr>
  </w:style>
  <w:style w:type="paragraph" w:customStyle="1" w:styleId="15">
    <w:name w:val="HtmlNormal"/>
    <w:basedOn w:val="1"/>
    <w:qFormat/>
    <w:uiPriority w:val="0"/>
    <w:pPr>
      <w:pBdr>
        <w:top w:val="none" w:color="auto" w:sz="0" w:space="0"/>
        <w:left w:val="none" w:color="auto" w:sz="0" w:space="0"/>
        <w:bottom w:val="none" w:color="auto" w:sz="0" w:space="0"/>
        <w:right w:val="none" w:color="auto" w:sz="0" w:space="0"/>
      </w:pBdr>
      <w:spacing w:before="0" w:after="0"/>
      <w:ind w:left="0" w:right="0"/>
      <w:jc w:val="left"/>
      <w:textAlignment w:val="baseline"/>
    </w:pPr>
    <w:rPr>
      <w:kern w:val="0"/>
      <w:sz w:val="24"/>
      <w:szCs w:val="22"/>
      <w:lang w:val="en-US" w:eastAsia="zh-CN"/>
    </w:rPr>
  </w:style>
  <w:style w:type="character" w:customStyle="1" w:styleId="16">
    <w:name w:val="UserStyle_0"/>
    <w:basedOn w:val="9"/>
    <w:link w:val="4"/>
    <w:uiPriority w:val="0"/>
    <w:rPr>
      <w:rFonts w:ascii="Calibri" w:hAnsi="Calibri"/>
      <w:kern w:val="2"/>
      <w:sz w:val="21"/>
      <w:szCs w:val="22"/>
    </w:rPr>
  </w:style>
  <w:style w:type="character" w:customStyle="1" w:styleId="17">
    <w:name w:val="UserStyle_1"/>
    <w:basedOn w:val="9"/>
    <w:qFormat/>
    <w:uiPriority w:val="0"/>
    <w:rPr/>
  </w:style>
  <w:style w:type="character" w:customStyle="1" w:styleId="18">
    <w:name w:val="UserStyle_2"/>
    <w:basedOn w:val="9"/>
    <w:link w:val="13"/>
    <w:qFormat/>
    <w:uiPriority w:val="0"/>
    <w:rPr>
      <w:rFonts w:ascii="宋体" w:hAnsi="宋体" w:cs="宋体"/>
      <w:b/>
      <w:bCs/>
      <w:kern w:val="36"/>
      <w:sz w:val="48"/>
      <w:szCs w:val="48"/>
    </w:rPr>
  </w:style>
  <w:style w:type="character" w:customStyle="1" w:styleId="19">
    <w:name w:val="UserStyle_3"/>
    <w:basedOn w:val="9"/>
    <w:qFormat/>
    <w:uiPriority w:val="0"/>
    <w:rPr>
      <w:color w:val="999999"/>
    </w:rPr>
  </w:style>
  <w:style w:type="character" w:customStyle="1" w:styleId="20">
    <w:name w:val="UserStyle_4"/>
    <w:basedOn w:val="9"/>
    <w:qFormat/>
    <w:uiPriority w:val="0"/>
    <w:rPr>
      <w:bdr w:val="single" w:color="000000" w:sz="101" w:space="0"/>
    </w:rPr>
  </w:style>
  <w:style w:type="character" w:customStyle="1" w:styleId="21">
    <w:name w:val="UserStyle_5"/>
    <w:basedOn w:val="9"/>
    <w:qFormat/>
    <w:uiPriority w:val="0"/>
    <w:rPr>
      <w:color w:val="1783F9"/>
    </w:rPr>
  </w:style>
  <w:style w:type="character" w:customStyle="1" w:styleId="22">
    <w:name w:val="UserStyle_6"/>
    <w:basedOn w:val="9"/>
    <w:qFormat/>
    <w:uiPriority w:val="0"/>
    <w:rPr>
      <w:color w:val="1783F9"/>
    </w:rPr>
  </w:style>
  <w:style w:type="character" w:customStyle="1" w:styleId="23">
    <w:name w:val="UserStyle_7"/>
    <w:basedOn w:val="9"/>
    <w:qFormat/>
    <w:uiPriority w:val="0"/>
    <w:rPr/>
  </w:style>
  <w:style w:type="character" w:customStyle="1" w:styleId="24">
    <w:name w:val="UserStyle_8"/>
    <w:basedOn w:val="9"/>
    <w:qFormat/>
    <w:uiPriority w:val="0"/>
    <w:rPr/>
  </w:style>
  <w:style w:type="character" w:customStyle="1" w:styleId="25">
    <w:name w:val="UserStyle_9"/>
    <w:basedOn w:val="9"/>
    <w:link w:val="14"/>
    <w:semiHidden/>
    <w:qFormat/>
    <w:uiPriority w:val="0"/>
    <w:rPr>
      <w:kern w:val="2"/>
      <w:sz w:val="18"/>
      <w:szCs w:val="18"/>
    </w:rPr>
  </w:style>
  <w:style w:type="character" w:customStyle="1" w:styleId="26">
    <w:name w:val="UserStyle_10"/>
    <w:basedOn w:val="9"/>
    <w:qFormat/>
    <w:uiPriority w:val="0"/>
    <w:rPr/>
  </w:style>
  <w:style w:type="character" w:customStyle="1" w:styleId="27">
    <w:name w:val="HtmlAcronym"/>
    <w:basedOn w:val="9"/>
    <w:qFormat/>
    <w:uiPriority w:val="0"/>
    <w:rPr/>
  </w:style>
  <w:style w:type="character" w:customStyle="1" w:styleId="28">
    <w:name w:val="UserStyle_11"/>
    <w:basedOn w:val="9"/>
    <w:qFormat/>
    <w:uiPriority w:val="0"/>
    <w:rPr>
      <w:color w:val="999999"/>
    </w:rPr>
  </w:style>
  <w:style w:type="character" w:customStyle="1" w:styleId="29">
    <w:name w:val="UserStyle_12"/>
    <w:basedOn w:val="9"/>
    <w:qFormat/>
    <w:uiPriority w:val="0"/>
    <w:rPr/>
  </w:style>
  <w:style w:type="character" w:customStyle="1" w:styleId="30">
    <w:name w:val="font61"/>
    <w:basedOn w:val="7"/>
    <w:qFormat/>
    <w:uiPriority w:val="0"/>
    <w:rPr>
      <w:rFonts w:hint="eastAsia" w:ascii="宋体" w:hAnsi="宋体" w:eastAsia="宋体" w:cs="宋体"/>
      <w:b/>
      <w:color w:val="000000"/>
      <w:sz w:val="40"/>
      <w:szCs w:val="40"/>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2021-02-03T07:00:00Z</dcterms:created>
  <dc:creator>Administrator</dc:creator>
  <cp:lastModifiedBy>信州区政府办收发员</cp:lastModifiedBy>
  <cp:lastPrinted>2021-02-05T03:55:00Z</cp:lastPrinted>
  <dcterms:modified xsi:type="dcterms:W3CDTF">2021-02-19T09:16:11Z</dcterms:modified>
  <dc:title>上饶市信州区人民政府办公室文件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