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60"/>
        <w:spacing w:before="432" w:line="219" w:lineRule="auto"/>
        <w:rPr>
          <w:rFonts w:ascii="SimSun" w:hAnsi="SimSun" w:eastAsia="SimSun" w:cs="SimSun"/>
          <w:sz w:val="133"/>
          <w:szCs w:val="133"/>
        </w:rPr>
      </w:pPr>
      <w:r>
        <w:rPr>
          <w:rFonts w:ascii="SimSun" w:hAnsi="SimSun" w:eastAsia="SimSun" w:cs="SimSun"/>
          <w:sz w:val="133"/>
          <w:szCs w:val="133"/>
          <w:b/>
          <w:bCs/>
          <w:color w:val="FC3200"/>
          <w:spacing w:val="-70"/>
          <w:w w:val="57"/>
        </w:rPr>
        <w:t>上饶市信州区人民政府文件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3039"/>
        <w:spacing w:before="107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5"/>
        </w:rPr>
        <w:t>饶信府发[2006]38号</w:t>
      </w:r>
    </w:p>
    <w:p>
      <w:pPr>
        <w:rPr/>
      </w:pPr>
      <w:r/>
    </w:p>
    <w:p>
      <w:pPr>
        <w:rPr/>
      </w:pPr>
      <w:r/>
    </w:p>
    <w:p>
      <w:pPr>
        <w:spacing w:line="154" w:lineRule="exact"/>
        <w:rPr/>
      </w:pPr>
      <w:r/>
    </w:p>
    <w:tbl>
      <w:tblPr>
        <w:tblStyle w:val="2"/>
        <w:tblW w:w="8934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934"/>
      </w:tblGrid>
      <w:tr>
        <w:trPr>
          <w:trHeight w:val="6107" w:hRule="atLeast"/>
        </w:trPr>
        <w:tc>
          <w:tcPr>
            <w:tcW w:w="8934" w:type="dxa"/>
            <w:vAlign w:val="top"/>
            <w:tcBorders>
              <w:bottom w:val="single" w:color="000000" w:sz="22" w:space="0"/>
              <w:top w:val="single" w:color="FF0000" w:sz="24" w:space="0"/>
            </w:tcBorders>
          </w:tcPr>
          <w:p>
            <w:pPr>
              <w:ind w:left="2336"/>
              <w:spacing w:before="89" w:line="219" w:lineRule="auto"/>
              <w:rPr>
                <w:rFonts w:ascii="SimSun" w:hAnsi="SimSun" w:eastAsia="SimSun" w:cs="SimSun"/>
                <w:sz w:val="44"/>
                <w:szCs w:val="44"/>
              </w:rPr>
            </w:pPr>
            <w:r>
              <w:rPr>
                <w:rFonts w:ascii="SimSun" w:hAnsi="SimSun" w:eastAsia="SimSun" w:cs="SimSun"/>
                <w:sz w:val="44"/>
                <w:szCs w:val="44"/>
                <w:b/>
                <w:bCs/>
                <w:spacing w:val="-14"/>
              </w:rPr>
              <w:t>上饶市信州区人民政府</w:t>
            </w:r>
          </w:p>
          <w:p>
            <w:pPr>
              <w:ind w:left="16"/>
              <w:spacing w:before="70" w:line="219" w:lineRule="auto"/>
              <w:rPr>
                <w:rFonts w:ascii="SimSun" w:hAnsi="SimSun" w:eastAsia="SimSun" w:cs="SimSun"/>
                <w:sz w:val="44"/>
                <w:szCs w:val="44"/>
              </w:rPr>
            </w:pPr>
            <w:r>
              <w:rPr>
                <w:rFonts w:ascii="SimSun" w:hAnsi="SimSun" w:eastAsia="SimSun" w:cs="SimSun"/>
                <w:sz w:val="44"/>
                <w:szCs w:val="44"/>
                <w:b/>
                <w:bCs/>
                <w:spacing w:val="-21"/>
              </w:rPr>
              <w:t>关于印发《关于进一步加强土地管理的意见》的</w:t>
            </w:r>
          </w:p>
          <w:p>
            <w:pPr>
              <w:ind w:left="3736"/>
              <w:spacing w:before="73" w:line="221" w:lineRule="auto"/>
              <w:rPr>
                <w:rFonts w:ascii="SimSun" w:hAnsi="SimSun" w:eastAsia="SimSun" w:cs="SimSun"/>
                <w:sz w:val="44"/>
                <w:szCs w:val="44"/>
              </w:rPr>
            </w:pPr>
            <w:r>
              <w:rPr>
                <w:rFonts w:ascii="SimSun" w:hAnsi="SimSun" w:eastAsia="SimSun" w:cs="SimSun"/>
                <w:sz w:val="44"/>
                <w:szCs w:val="44"/>
                <w:b/>
                <w:bCs/>
                <w:spacing w:val="-14"/>
              </w:rPr>
              <w:t>通</w:t>
            </w:r>
            <w:r>
              <w:rPr>
                <w:rFonts w:ascii="SimSun" w:hAnsi="SimSun" w:eastAsia="SimSun" w:cs="SimSun"/>
                <w:sz w:val="44"/>
                <w:szCs w:val="44"/>
                <w:spacing w:val="88"/>
              </w:rPr>
              <w:t xml:space="preserve">  </w:t>
            </w:r>
            <w:r>
              <w:rPr>
                <w:rFonts w:ascii="SimSun" w:hAnsi="SimSun" w:eastAsia="SimSun" w:cs="SimSun"/>
                <w:sz w:val="44"/>
                <w:szCs w:val="44"/>
                <w:b/>
                <w:bCs/>
                <w:spacing w:val="-14"/>
              </w:rPr>
              <w:t>知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9"/>
              <w:spacing w:before="107" w:line="222" w:lineRule="auto"/>
              <w:rPr>
                <w:rFonts w:ascii="FangSong" w:hAnsi="FangSong" w:eastAsia="FangSong" w:cs="FangSong"/>
                <w:sz w:val="33"/>
                <w:szCs w:val="33"/>
              </w:rPr>
            </w:pPr>
            <w:r>
              <w:rPr>
                <w:rFonts w:ascii="FangSong" w:hAnsi="FangSong" w:eastAsia="FangSong" w:cs="FangSong"/>
                <w:sz w:val="33"/>
                <w:szCs w:val="33"/>
                <w:spacing w:val="-3"/>
              </w:rPr>
              <w:t>各乡(镇)人民政府、街道办事处，区政府各有关部门：</w:t>
            </w:r>
          </w:p>
          <w:p>
            <w:pPr>
              <w:ind w:left="635"/>
              <w:spacing w:before="117" w:line="505" w:lineRule="exact"/>
              <w:rPr>
                <w:rFonts w:ascii="FangSong" w:hAnsi="FangSong" w:eastAsia="FangSong" w:cs="FangSong"/>
                <w:sz w:val="33"/>
                <w:szCs w:val="33"/>
              </w:rPr>
            </w:pPr>
            <w:r>
              <w:rPr>
                <w:rFonts w:ascii="FangSong" w:hAnsi="FangSong" w:eastAsia="FangSong" w:cs="FangSong"/>
                <w:sz w:val="33"/>
                <w:szCs w:val="33"/>
                <w:spacing w:val="-14"/>
                <w:position w:val="12"/>
              </w:rPr>
              <w:t>《关于进一步加强土地管理的意见》已经区政府研究同意，</w:t>
            </w:r>
          </w:p>
          <w:p>
            <w:pPr>
              <w:ind w:left="9"/>
              <w:spacing w:line="220" w:lineRule="auto"/>
              <w:rPr>
                <w:rFonts w:ascii="FangSong" w:hAnsi="FangSong" w:eastAsia="FangSong" w:cs="FangSong"/>
                <w:sz w:val="33"/>
                <w:szCs w:val="33"/>
              </w:rPr>
            </w:pPr>
            <w:r>
              <w:rPr>
                <w:rFonts w:ascii="FangSong" w:hAnsi="FangSong" w:eastAsia="FangSong" w:cs="FangSong"/>
                <w:sz w:val="33"/>
                <w:szCs w:val="33"/>
                <w:spacing w:val="-17"/>
              </w:rPr>
              <w:t>现予印发，请遵照执行。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before="105" w:line="228" w:lineRule="auto"/>
              <w:jc w:val="right"/>
              <w:rPr>
                <w:rFonts w:ascii="FangSong" w:hAnsi="FangSong" w:eastAsia="FangSong" w:cs="FangSong"/>
                <w:sz w:val="32"/>
                <w:szCs w:val="32"/>
              </w:rPr>
            </w:pPr>
            <w: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3803640</wp:posOffset>
                  </wp:positionH>
                  <wp:positionV relativeFrom="paragraph">
                    <wp:posOffset>-695976</wp:posOffset>
                  </wp:positionV>
                  <wp:extent cx="1682756" cy="1714472"/>
                  <wp:effectExtent l="0" t="0" r="0" b="0"/>
                  <wp:wrapNone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82756" cy="171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ngSong" w:hAnsi="FangSong" w:eastAsia="FangSong" w:cs="FangSong"/>
                <w:sz w:val="32"/>
                <w:szCs w:val="32"/>
                <w:spacing w:val="5"/>
              </w:rPr>
              <w:t>二00六年九月一</w:t>
            </w:r>
            <w:r>
              <w:rPr>
                <w:rFonts w:ascii="FangSong" w:hAnsi="FangSong" w:eastAsia="FangSong" w:cs="FangSong"/>
                <w:sz w:val="32"/>
                <w:szCs w:val="32"/>
                <w:spacing w:val="-53"/>
              </w:rPr>
              <w:t xml:space="preserve"> </w:t>
            </w:r>
            <w:r>
              <w:rPr>
                <w:rFonts w:ascii="FangSong" w:hAnsi="FangSong" w:eastAsia="FangSong" w:cs="FangSong"/>
                <w:sz w:val="32"/>
                <w:szCs w:val="32"/>
                <w:spacing w:val="5"/>
              </w:rPr>
              <w:t>日</w:t>
            </w:r>
          </w:p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14"/>
              <w:spacing w:before="78" w:line="18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27"/>
                <w:w w:val="122"/>
              </w:rPr>
              <w:t>主题词：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  <w:w w:val="122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  <w:w w:val="122"/>
              </w:rPr>
              <w:t>土</w:t>
            </w:r>
            <w:r>
              <w:rPr>
                <w:rFonts w:ascii="SimSun" w:hAnsi="SimSun" w:eastAsia="SimSun" w:cs="SimSun"/>
                <w:sz w:val="24"/>
                <w:szCs w:val="24"/>
                <w:spacing w:val="18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  <w:w w:val="122"/>
              </w:rPr>
              <w:t>土地管理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  <w:w w:val="122"/>
              </w:rPr>
              <w:t>意</w:t>
            </w:r>
            <w:r>
              <w:rPr>
                <w:rFonts w:ascii="SimSun" w:hAnsi="SimSun" w:eastAsia="SimSun" w:cs="SimSun"/>
                <w:sz w:val="24"/>
                <w:szCs w:val="24"/>
                <w:spacing w:val="28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  <w:w w:val="122"/>
              </w:rPr>
              <w:t>见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  <w:w w:val="122"/>
              </w:rPr>
              <w:t>通</w:t>
            </w:r>
            <w:r>
              <w:rPr>
                <w:rFonts w:ascii="SimSun" w:hAnsi="SimSun" w:eastAsia="SimSun" w:cs="SimSun"/>
                <w:sz w:val="24"/>
                <w:szCs w:val="24"/>
                <w:spacing w:val="23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:spacing w:val="27"/>
                <w:w w:val="122"/>
              </w:rPr>
              <w:t>知</w:t>
            </w:r>
          </w:p>
        </w:tc>
      </w:tr>
      <w:tr>
        <w:trPr>
          <w:trHeight w:val="1206" w:hRule="atLeast"/>
        </w:trPr>
        <w:tc>
          <w:tcPr>
            <w:tcW w:w="8934" w:type="dxa"/>
            <w:vAlign w:val="top"/>
            <w:tcBorders>
              <w:top w:val="single" w:color="000000" w:sz="22" w:space="0"/>
              <w:bottom w:val="single" w:color="000000" w:sz="24" w:space="0"/>
            </w:tcBorders>
          </w:tcPr>
          <w:p>
            <w:pPr>
              <w:ind w:left="329"/>
              <w:spacing w:before="79" w:line="222" w:lineRule="auto"/>
              <w:rPr>
                <w:rFonts w:ascii="FangSong" w:hAnsi="FangSong" w:eastAsia="FangSong" w:cs="FangSong"/>
                <w:sz w:val="33"/>
                <w:szCs w:val="33"/>
              </w:rPr>
            </w:pPr>
            <w:r>
              <w:rPr>
                <w:rFonts w:ascii="FangSong" w:hAnsi="FangSong" w:eastAsia="FangSong" w:cs="FangSong"/>
                <w:sz w:val="33"/>
                <w:szCs w:val="33"/>
                <w:spacing w:val="-9"/>
              </w:rPr>
              <w:t>抄报：市政府</w:t>
            </w:r>
          </w:p>
          <w:p>
            <w:pPr>
              <w:ind w:left="1139" w:right="409" w:hanging="820"/>
              <w:spacing w:before="32" w:line="22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25"/>
              </w:rPr>
              <w:t>抄送：区委、人大、政协、纪委、人武部，市</w:t>
            </w:r>
            <w:r>
              <w:rPr>
                <w:rFonts w:ascii="FangSong" w:hAnsi="FangSong" w:eastAsia="FangSong" w:cs="FangSong"/>
                <w:sz w:val="29"/>
                <w:szCs w:val="29"/>
                <w:spacing w:val="24"/>
              </w:rPr>
              <w:t>国土资源局，</w:t>
            </w:r>
            <w:r>
              <w:rPr>
                <w:rFonts w:ascii="FangSong" w:hAnsi="FangSong" w:eastAsia="FangSong" w:cs="FangSong"/>
                <w:sz w:val="29"/>
                <w:szCs w:val="29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40"/>
              </w:rPr>
              <w:t>云碧峰国家森林公园管委会</w:t>
            </w:r>
          </w:p>
        </w:tc>
      </w:tr>
      <w:tr>
        <w:trPr>
          <w:trHeight w:val="395" w:hRule="atLeast"/>
        </w:trPr>
        <w:tc>
          <w:tcPr>
            <w:tcW w:w="8934" w:type="dxa"/>
            <w:vAlign w:val="top"/>
            <w:tcBorders>
              <w:bottom w:val="single" w:color="000000" w:sz="22" w:space="0"/>
              <w:top w:val="single" w:color="000000" w:sz="24" w:space="0"/>
            </w:tcBorders>
          </w:tcPr>
          <w:p>
            <w:pPr>
              <w:ind w:left="9"/>
              <w:spacing w:before="82" w:line="19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50"/>
              </w:rPr>
              <w:t>上饶市信州区人民政府办公室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 xml:space="preserve">           </w:t>
            </w:r>
            <w:r>
              <w:rPr>
                <w:rFonts w:ascii="FangSong" w:hAnsi="FangSong" w:eastAsia="FangSong" w:cs="FangSong"/>
                <w:sz w:val="30"/>
                <w:szCs w:val="30"/>
                <w:spacing w:val="50"/>
              </w:rPr>
              <w:t>2006年9月1日印发</w:t>
            </w:r>
          </w:p>
        </w:tc>
      </w:tr>
    </w:tbl>
    <w:p>
      <w:pPr>
        <w:spacing w:line="40" w:lineRule="exact"/>
        <w:rPr>
          <w:rFonts w:ascii="Arial"/>
          <w:sz w:val="3"/>
        </w:rPr>
      </w:pPr>
      <w:r/>
    </w:p>
    <w:p>
      <w:pPr>
        <w:sectPr>
          <w:footerReference w:type="default" r:id="rId1"/>
          <w:pgSz w:w="11900" w:h="16840"/>
          <w:pgMar w:top="1431" w:right="1505" w:bottom="1840" w:left="1460" w:header="0" w:footer="1444" w:gutter="0"/>
        </w:sectPr>
        <w:rPr/>
      </w:pPr>
    </w:p>
    <w:p>
      <w:pPr>
        <w:ind w:firstLine="9145"/>
        <w:spacing w:line="50" w:lineRule="exact"/>
        <w:textAlignment w:val="center"/>
        <w:rPr/>
      </w:pPr>
      <w:r>
        <w:drawing>
          <wp:inline distT="0" distB="0" distL="0" distR="0">
            <wp:extent cx="57127" cy="31759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27" cy="3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3"/>
          <w:pgSz w:w="11900" w:h="16840"/>
          <w:pgMar w:top="1150" w:right="880" w:bottom="400" w:left="1785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371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12"/>
        </w:rPr>
        <w:t>关于进一步加强土地管理的意见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55" w:firstLine="639"/>
        <w:spacing w:before="100" w:line="36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为贯彻落实“十分珍惜、合理利用土地和切实保护耕地”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的基本国策。全面推进土地使用制度改革，加强土地管理。根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据《中华人民共和国土地管理法》、《中华人民共和国城镇国有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土地使用权出让和转让暂行条例》、《国务院关于深化改革严格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土地管理的决定》等有关法律、法规、规章和政策，结合我区</w:t>
      </w:r>
    </w:p>
    <w:p>
      <w:pPr>
        <w:ind w:left="55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实际，制定本意见：</w:t>
      </w:r>
    </w:p>
    <w:p>
      <w:pPr>
        <w:ind w:left="709"/>
        <w:spacing w:before="281" w:line="625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  <w:position w:val="24"/>
        </w:rPr>
        <w:t>一、加强土地利用总体规划及城镇、乡村规划管理，严格</w:t>
      </w:r>
    </w:p>
    <w:p>
      <w:pPr>
        <w:ind w:left="59"/>
        <w:spacing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保护基本农田</w:t>
      </w:r>
    </w:p>
    <w:p>
      <w:pPr>
        <w:ind w:left="45" w:right="150" w:firstLine="799"/>
        <w:spacing w:before="236" w:line="37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(一)加强土地利用总体规划及城镇、乡村规划管理。</w:t>
      </w:r>
      <w:r>
        <w:rPr>
          <w:rFonts w:ascii="FangSong" w:hAnsi="FangSong" w:eastAsia="FangSong" w:cs="FangSong"/>
          <w:sz w:val="31"/>
          <w:szCs w:val="31"/>
          <w:spacing w:val="15"/>
        </w:rPr>
        <w:t>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镇、乡村规划的编制，应以土地利用总体规划、基本农田保护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规划为依据。城镇、乡村规划中的建设用地规模不得超过土地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利用总体规划确定的建设用地规模。年度土地利用计划实行指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令性计划管理，执行中不得突破。在土地利用总体规划确定的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建设用地范围外，不得设立各类开发区(园区)和乡镇新区(小</w:t>
      </w:r>
    </w:p>
    <w:p>
      <w:pPr>
        <w:ind w:left="55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区)。</w:t>
      </w:r>
    </w:p>
    <w:p>
      <w:pPr>
        <w:ind w:left="825"/>
        <w:spacing w:before="240" w:line="62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position w:val="23"/>
        </w:rPr>
        <w:t>(二)建立和完善基本农田保护制度，严格控制</w:t>
      </w:r>
      <w:r>
        <w:rPr>
          <w:rFonts w:ascii="FangSong" w:hAnsi="FangSong" w:eastAsia="FangSong" w:cs="FangSong"/>
          <w:sz w:val="31"/>
          <w:szCs w:val="31"/>
          <w:spacing w:val="16"/>
          <w:position w:val="23"/>
        </w:rPr>
        <w:t>非农建设</w:t>
      </w:r>
    </w:p>
    <w:p>
      <w:pPr>
        <w:ind w:left="55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占用基本农田。任何单位和个人不得擅自占用或改变</w:t>
      </w:r>
      <w:r>
        <w:rPr>
          <w:rFonts w:ascii="FangSong" w:hAnsi="FangSong" w:eastAsia="FangSong" w:cs="FangSong"/>
          <w:sz w:val="31"/>
          <w:szCs w:val="31"/>
          <w:spacing w:val="-1"/>
        </w:rPr>
        <w:t>基本农田，</w:t>
      </w:r>
    </w:p>
    <w:p>
      <w:pPr>
        <w:sectPr>
          <w:footerReference w:type="default" r:id="rId5"/>
          <w:pgSz w:w="12430" w:h="17210"/>
          <w:pgMar w:top="1462" w:right="1717" w:bottom="1475" w:left="1864" w:header="0" w:footer="1326" w:gutter="0"/>
        </w:sectPr>
        <w:rPr/>
      </w:pPr>
    </w:p>
    <w:p>
      <w:pPr>
        <w:spacing w:before="65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这是一条不可逾越的“红线”。必须强化基本农田保护的管理和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监督，严格执行非农业建设占用基本农田的审批制度。符合法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定条件，确需改变和占用基本农田的，必须报国务院批准后方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可使用。禁止以建设“新农村”、“招商引资”等名义占用基本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农田进行非农建设。</w:t>
      </w:r>
    </w:p>
    <w:p>
      <w:pPr>
        <w:ind w:right="54" w:firstLine="759"/>
        <w:spacing w:before="270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(三)严格执行占用耕地补偿制度。各类非农业建设经批</w:t>
      </w:r>
      <w:r>
        <w:rPr>
          <w:rFonts w:ascii="FangSong" w:hAnsi="FangSong" w:eastAsia="FangSong" w:cs="FangSong"/>
          <w:sz w:val="31"/>
          <w:szCs w:val="31"/>
          <w:spacing w:val="4"/>
        </w:rPr>
        <w:t>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占用耕地的，建设单位必须补充数量、质量相当的耕地，补充耕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地的数量、质量实行按等级折算，防止占多补少、占优补劣。不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能自行补充的，必须按照国家规定缴纳耕地开垦费。</w:t>
      </w:r>
    </w:p>
    <w:p>
      <w:pPr>
        <w:ind w:left="634"/>
        <w:spacing w:before="256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二、</w:t>
      </w:r>
      <w:r>
        <w:rPr>
          <w:rFonts w:ascii="SimHei" w:hAnsi="SimHei" w:eastAsia="SimHei" w:cs="SimHei"/>
          <w:sz w:val="31"/>
          <w:szCs w:val="31"/>
          <w:spacing w:val="-2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区辖乡镇规划区内土地的征收、收购、处置和交易</w:t>
      </w:r>
    </w:p>
    <w:p>
      <w:pPr>
        <w:ind w:left="629"/>
        <w:spacing w:before="241" w:line="64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5"/>
        </w:rPr>
        <w:t>区辖乡镇规划区是指城市规划区外信州区所辖的各乡镇规</w:t>
      </w:r>
    </w:p>
    <w:p>
      <w:pPr>
        <w:spacing w:before="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划区。</w:t>
      </w:r>
    </w:p>
    <w:p>
      <w:pPr>
        <w:ind w:left="689"/>
        <w:spacing w:before="21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(一)区辖乡镇规划区内的土地征收</w:t>
      </w:r>
    </w:p>
    <w:p>
      <w:pPr>
        <w:ind w:right="35" w:firstLine="629"/>
        <w:spacing w:before="249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国家建设征收集体土地，是指国家因社会公共利益的需要，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强制征收集体所有土地并依法给予一定补偿的行为。市国</w:t>
      </w:r>
      <w:r>
        <w:rPr>
          <w:rFonts w:ascii="FangSong" w:hAnsi="FangSong" w:eastAsia="FangSong" w:cs="FangSong"/>
          <w:sz w:val="31"/>
          <w:szCs w:val="31"/>
          <w:spacing w:val="-2"/>
        </w:rPr>
        <w:t>土资源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局信州分局负责本辖区内土地的统一管理，新增建设用地由市国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土资源局信州分局代表区政府实施统一征收。任何单位或个人直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接向乡(镇)村或农民征收土地均属非法买卖行为，有关部门不得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办理任何手续，并严肃查处相关责任人员责任。</w:t>
      </w:r>
    </w:p>
    <w:p>
      <w:pPr>
        <w:ind w:left="699"/>
        <w:spacing w:before="25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(二)区辖乡镇规划区内的土地收购和处置</w:t>
      </w:r>
    </w:p>
    <w:p>
      <w:pPr>
        <w:ind w:right="108" w:firstLine="629"/>
        <w:spacing w:before="247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辖区内存量的国有土地，必须统一纳入政府土地储备库，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由市土地储备中心统一收购，同时报财政部门备案，有计划</w:t>
      </w:r>
      <w:r>
        <w:rPr>
          <w:rFonts w:ascii="FangSong" w:hAnsi="FangSong" w:eastAsia="FangSong" w:cs="FangSong"/>
          <w:sz w:val="31"/>
          <w:szCs w:val="31"/>
          <w:spacing w:val="7"/>
        </w:rPr>
        <w:t>适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时适量投放市场公开交易。任何单位或个人不得私自</w:t>
      </w:r>
      <w:r>
        <w:rPr>
          <w:rFonts w:ascii="FangSong" w:hAnsi="FangSong" w:eastAsia="FangSong" w:cs="FangSong"/>
          <w:sz w:val="31"/>
          <w:szCs w:val="31"/>
          <w:spacing w:val="-1"/>
        </w:rPr>
        <w:t>买卖土地，</w:t>
      </w:r>
    </w:p>
    <w:p>
      <w:pPr>
        <w:sectPr>
          <w:footerReference w:type="default" r:id="rId6"/>
          <w:pgSz w:w="12140" w:h="17010"/>
          <w:pgMar w:top="1224" w:right="1706" w:bottom="1415" w:left="1740" w:header="0" w:footer="1266" w:gutter="0"/>
        </w:sectPr>
        <w:rPr/>
      </w:pPr>
    </w:p>
    <w:p>
      <w:pPr>
        <w:ind w:left="19"/>
        <w:spacing w:before="66" w:line="352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任何单位或个人(包括改制企业)需要处置的土地，统一由市土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地储备中心收购，按规定给予补偿。任何单位或个人擅自买卖</w:t>
      </w:r>
    </w:p>
    <w:p>
      <w:pPr>
        <w:ind w:left="19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土地一律无效，有关部门不得办理任何手续。</w:t>
      </w:r>
    </w:p>
    <w:p>
      <w:pPr>
        <w:ind w:left="749"/>
        <w:spacing w:before="24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(三)区辖乡镇规划区内的土地交易</w:t>
      </w:r>
    </w:p>
    <w:p>
      <w:pPr>
        <w:ind w:left="19" w:right="37" w:firstLine="660"/>
        <w:spacing w:before="258" w:line="35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加强对土地交易过程的监督管理，规范和搞活土地二级市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场。土地交易包括房带地的交易。对原划拨土地或改变土地使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用用途存量土地的交易，必须进入土地市场公开运作。出让土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地使用权的首次交易，经对出让合同履行情况审核后，由市国</w:t>
      </w:r>
    </w:p>
    <w:p>
      <w:pPr>
        <w:ind w:left="19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土资源局信州分局核准，符合转让条件的方可进行交易。</w:t>
      </w:r>
    </w:p>
    <w:p>
      <w:pPr>
        <w:ind w:left="684"/>
        <w:spacing w:before="243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9"/>
        </w:rPr>
        <w:t>三、</w:t>
      </w:r>
      <w:r>
        <w:rPr>
          <w:rFonts w:ascii="SimHei" w:hAnsi="SimHei" w:eastAsia="SimHei" w:cs="SimHei"/>
          <w:sz w:val="32"/>
          <w:szCs w:val="32"/>
          <w:spacing w:val="-4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9"/>
        </w:rPr>
        <w:t>国家建设、农村公共设施和公益事业建设用地的审批</w:t>
      </w:r>
    </w:p>
    <w:p>
      <w:pPr>
        <w:ind w:left="19" w:right="7" w:firstLine="660"/>
        <w:spacing w:before="250" w:line="352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任何单位或个人各类项目用地必须持建设项目的有关批准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文件向国土部门提出用地申请，区国土部门应根据土地利用总体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规划、土地利用年度计划和建设用地标准，对建设用地有关事项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进行审查，报区政府审核批准，对符合规划、林业、水利等部门</w:t>
      </w:r>
      <w:r>
        <w:rPr>
          <w:rFonts w:ascii="FangSong" w:hAnsi="FangSong" w:eastAsia="FangSong" w:cs="FangSong"/>
          <w:sz w:val="32"/>
          <w:szCs w:val="32"/>
          <w:spacing w:val="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和国家产业政策要求的，待用地指标落实后，再由国土部门组织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材料依法征地报批。各乡镇及用地单位一律不得</w:t>
      </w:r>
      <w:r>
        <w:rPr>
          <w:rFonts w:ascii="FangSong" w:hAnsi="FangSong" w:eastAsia="FangSong" w:cs="FangSong"/>
          <w:sz w:val="32"/>
          <w:szCs w:val="32"/>
          <w:spacing w:val="-13"/>
        </w:rPr>
        <w:t>未批先用。不符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合法律和政策规定、未履行完必要程序的用地项</w:t>
      </w:r>
      <w:r>
        <w:rPr>
          <w:rFonts w:ascii="FangSong" w:hAnsi="FangSong" w:eastAsia="FangSong" w:cs="FangSong"/>
          <w:sz w:val="32"/>
          <w:szCs w:val="32"/>
          <w:spacing w:val="-12"/>
        </w:rPr>
        <w:t>目一律不得开工</w:t>
      </w:r>
    </w:p>
    <w:p>
      <w:pPr>
        <w:ind w:left="19"/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建设。</w:t>
      </w:r>
    </w:p>
    <w:p>
      <w:pPr>
        <w:ind w:left="19" w:right="46" w:firstLine="660"/>
        <w:spacing w:before="318" w:line="358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兴办乡镇村公共设施和公益事业建设经依法批准</w:t>
      </w:r>
      <w:r>
        <w:rPr>
          <w:rFonts w:ascii="FangSong" w:hAnsi="FangSong" w:eastAsia="FangSong" w:cs="FangSong"/>
          <w:sz w:val="32"/>
          <w:szCs w:val="32"/>
          <w:spacing w:val="-2"/>
        </w:rPr>
        <w:t>可以使用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农民集体所有的土地。在建制镇、村庄、集镇建设用地规模范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围内，先将农用地转为建设用地，按土地利用计划分批次报有</w:t>
      </w:r>
    </w:p>
    <w:p>
      <w:pPr>
        <w:ind w:left="19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批准权的人民政府批准。</w:t>
      </w:r>
    </w:p>
    <w:p>
      <w:pPr>
        <w:ind w:left="684"/>
        <w:spacing w:before="240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4"/>
        </w:rPr>
        <w:t>四、</w:t>
      </w:r>
      <w:r>
        <w:rPr>
          <w:rFonts w:ascii="SimHei" w:hAnsi="SimHei" w:eastAsia="SimHei" w:cs="SimHei"/>
          <w:sz w:val="32"/>
          <w:szCs w:val="32"/>
          <w:spacing w:val="-85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4"/>
        </w:rPr>
        <w:t>土地市场的建设和管理</w:t>
      </w:r>
    </w:p>
    <w:p>
      <w:pPr>
        <w:sectPr>
          <w:footerReference w:type="default" r:id="rId7"/>
          <w:pgSz w:w="12400" w:h="17190"/>
          <w:pgMar w:top="1332" w:right="1842" w:bottom="1502" w:left="1860" w:header="0" w:footer="1343" w:gutter="0"/>
        </w:sectPr>
        <w:rPr/>
      </w:pPr>
    </w:p>
    <w:p>
      <w:pPr>
        <w:ind w:left="689"/>
        <w:spacing w:before="6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(一)农村集体建设用地</w:t>
      </w:r>
    </w:p>
    <w:p>
      <w:pPr>
        <w:ind w:right="9" w:firstLine="629"/>
        <w:spacing w:before="248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各乡镇要尽快做好土地利用总体规划的修编和村镇规划的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编制工作，并按照经上级批准后的乡级土地利用总体规划、年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度土地利用计划和村镇规划的要求加强管理。促进农村居民点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向中心村和集镇集中，乡镇企业向工业小区集中。</w:t>
      </w:r>
    </w:p>
    <w:p>
      <w:pPr>
        <w:ind w:right="5" w:firstLine="629"/>
        <w:spacing w:before="240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农村建设用地必须坚持科学规划、合理布局、</w:t>
      </w:r>
      <w:r>
        <w:rPr>
          <w:rFonts w:ascii="FangSong" w:hAnsi="FangSong" w:eastAsia="FangSong" w:cs="FangSong"/>
          <w:sz w:val="31"/>
          <w:szCs w:val="31"/>
          <w:spacing w:val="9"/>
        </w:rPr>
        <w:t>节约用地、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保护耕地，充分利用荒坡地、废弃地。坚持先规划后建设的原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则，对中心村以上村镇建设要做到统一规划，没有规划的，不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批准成片的建设用地，单家独院的零星建设用地要控制，特</w:t>
      </w:r>
      <w:r>
        <w:rPr>
          <w:rFonts w:ascii="FangSong" w:hAnsi="FangSong" w:eastAsia="FangSong" w:cs="FangSong"/>
          <w:sz w:val="31"/>
          <w:szCs w:val="31"/>
          <w:spacing w:val="9"/>
        </w:rPr>
        <w:t>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是公路沿线禁止零星建房。鼓励有条件的乡镇所辖的村庄撤村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并点，收回旧宅基地。采取以地换地的办法，集中在小城镇规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划区和中心村内搞建设.</w:t>
      </w:r>
    </w:p>
    <w:p>
      <w:pPr>
        <w:ind w:firstLine="689"/>
        <w:spacing w:before="258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乡镇规划区外的农村偏远地区，因自然条件限制，居住分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散或特困户，无法纳入统一规划或有偿使用轨道的，建房户应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严格执行“农村村民一户只能拥有一处宅基地”和省政府规定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的限额标准，按程序申请报批。农村村民零星建房原则上不</w:t>
      </w:r>
      <w:r>
        <w:rPr>
          <w:rFonts w:ascii="FangSong" w:hAnsi="FangSong" w:eastAsia="FangSong" w:cs="FangSong"/>
          <w:sz w:val="31"/>
          <w:szCs w:val="31"/>
          <w:spacing w:val="9"/>
        </w:rPr>
        <w:t>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占用耕地，禁止占用土地利用总体规划确定的退建还耕区、基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本农田保护区和自然灾害区内的土地建房。</w:t>
      </w:r>
    </w:p>
    <w:p>
      <w:pPr>
        <w:ind w:left="689"/>
        <w:spacing w:before="28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(二)建立和规范公开、公平、公正的土地市场</w:t>
      </w:r>
    </w:p>
    <w:p>
      <w:pPr>
        <w:ind w:right="15" w:firstLine="629"/>
        <w:spacing w:before="253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各乡(镇)人民政府、街道办事处，区政府各有关部门要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强化土地经营理念，建立公平、公开、公正的土地市场，促进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土地市场健康发展，实现土地收益最大化。对商业、旅游、娱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乐和商品住宅等各类经营性用地一律实行招标、拍卖、挂牌方</w:t>
      </w:r>
    </w:p>
    <w:p>
      <w:pPr>
        <w:sectPr>
          <w:footerReference w:type="default" r:id="rId8"/>
          <w:pgSz w:w="12100" w:h="16980"/>
          <w:pgMar w:top="1205" w:right="1700" w:bottom="1357" w:left="1720" w:header="0" w:footer="1149" w:gutter="0"/>
        </w:sectPr>
        <w:rPr/>
      </w:pPr>
    </w:p>
    <w:p>
      <w:pPr>
        <w:spacing w:before="68" w:line="358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式出让土地。除国家规定的行政划拨供地项目外，停止行</w:t>
      </w:r>
      <w:r>
        <w:rPr>
          <w:rFonts w:ascii="FangSong" w:hAnsi="FangSong" w:eastAsia="FangSong" w:cs="FangSong"/>
          <w:sz w:val="32"/>
          <w:szCs w:val="32"/>
          <w:spacing w:val="-2"/>
        </w:rPr>
        <w:t>政审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批用地。协议出让的项目用地一律凭区政府抄告单规定的地价、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面积和规划部门的规划设计条件进行供地。集体土地使用权</w:t>
      </w:r>
      <w:r>
        <w:rPr>
          <w:rFonts w:ascii="FangSong" w:hAnsi="FangSong" w:eastAsia="FangSong" w:cs="FangSong"/>
          <w:sz w:val="32"/>
          <w:szCs w:val="32"/>
          <w:spacing w:val="-2"/>
        </w:rPr>
        <w:t>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得出让，不得用于经营性房地产开发，不得转让、出租用于非</w:t>
      </w:r>
    </w:p>
    <w:p>
      <w:pPr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农业建设。</w:t>
      </w:r>
    </w:p>
    <w:p>
      <w:pPr>
        <w:ind w:left="169" w:right="87" w:firstLine="480"/>
        <w:spacing w:before="227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加强对城镇居民、农村村民安置小区的用地管理。各乡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(镇)、街道不得将安置用地买卖给城镇居民或其他集体经济组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织的村民建房。</w:t>
      </w:r>
    </w:p>
    <w:p>
      <w:pPr>
        <w:ind w:right="75" w:firstLine="650"/>
        <w:spacing w:before="242" w:line="360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城镇居民用地必须进入土地市场公开运作，实行土地有偿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使用，办理国有土地使用权出让手续。禁止城镇居民使用集体</w:t>
      </w:r>
    </w:p>
    <w:p>
      <w:pPr>
        <w:spacing w:line="2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土地建房。</w:t>
      </w:r>
    </w:p>
    <w:p>
      <w:pPr>
        <w:ind w:left="654"/>
        <w:spacing w:before="226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五、</w:t>
      </w:r>
      <w:r>
        <w:rPr>
          <w:rFonts w:ascii="SimHei" w:hAnsi="SimHei" w:eastAsia="SimHei" w:cs="SimHei"/>
          <w:sz w:val="32"/>
          <w:szCs w:val="32"/>
          <w:spacing w:val="-52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土地收益的管理和分配</w:t>
      </w:r>
    </w:p>
    <w:p>
      <w:pPr>
        <w:ind w:right="39" w:firstLine="650"/>
        <w:spacing w:before="228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国有土地推行土地有偿使用，区政府在区财政设立土地收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入专户，区内所有经营性土地和工业用地土地收入全部先进入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区财政专户，任何单位和部门均不得直接收取土地收入，否则，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一经查实有违规行为，将严厉追究相关领导和责任人的责任。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国有土地收入由区政府统筹，用于基础设施、公益事业、集镇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建设，其中，净收入的8%用于土地部门的业务工作经费，属于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0"/>
        </w:rPr>
        <w:t>乡镇的建设项目(不含区直单位在乡镇的建设项目)</w:t>
      </w:r>
      <w:r>
        <w:rPr>
          <w:rFonts w:ascii="FangSong" w:hAnsi="FangSong" w:eastAsia="FangSong" w:cs="FangSong"/>
          <w:sz w:val="32"/>
          <w:szCs w:val="32"/>
          <w:spacing w:val="9"/>
        </w:rPr>
        <w:t>的土地出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让净收入按80%返还所在乡镇，用于乡镇小城镇建设及新农村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建设。土地罚没收入实行收支两条线管理，其中80%专门用于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弥补市国土资源局信州分局工作经费。</w:t>
      </w:r>
    </w:p>
    <w:p>
      <w:pPr>
        <w:ind w:left="650"/>
        <w:spacing w:before="29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乡镇规划区外村民零星建房，其用地审批规费严格按照</w:t>
      </w:r>
    </w:p>
    <w:p>
      <w:pPr>
        <w:sectPr>
          <w:footerReference w:type="default" r:id="rId9"/>
          <w:pgSz w:w="12230" w:h="17070"/>
          <w:pgMar w:top="1382" w:right="1700" w:bottom="1278" w:left="1789" w:header="0" w:footer="1081" w:gutter="0"/>
        </w:sectPr>
        <w:rPr/>
      </w:pPr>
    </w:p>
    <w:p>
      <w:pPr>
        <w:ind w:right="45"/>
        <w:spacing w:before="66" w:line="356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2002年7月《中共江西省委、江西省人民政府致全省农民</w:t>
      </w:r>
      <w:r>
        <w:rPr>
          <w:rFonts w:ascii="FangSong" w:hAnsi="FangSong" w:eastAsia="FangSong" w:cs="FangSong"/>
          <w:sz w:val="32"/>
          <w:szCs w:val="32"/>
          <w:spacing w:val="5"/>
        </w:rPr>
        <w:t>朋友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的第二封公开信》执行，乡、镇、村、组不得再以任何形式收</w:t>
      </w:r>
    </w:p>
    <w:p>
      <w:pPr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取土地补偿费、罚没收入及其他搭车收费。</w:t>
      </w:r>
    </w:p>
    <w:p>
      <w:pPr>
        <w:ind w:left="674"/>
        <w:spacing w:before="258" w:line="219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六、</w:t>
      </w:r>
      <w:r>
        <w:rPr>
          <w:rFonts w:ascii="SimHei" w:hAnsi="SimHei" w:eastAsia="SimHei" w:cs="SimHei"/>
          <w:sz w:val="32"/>
          <w:szCs w:val="32"/>
          <w:spacing w:val="-6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0"/>
        </w:rPr>
        <w:t>加强领导、严格执法、保证土地市场健康发展</w:t>
      </w:r>
    </w:p>
    <w:p>
      <w:pPr>
        <w:ind w:right="41" w:firstLine="670"/>
        <w:spacing w:before="234" w:line="358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各乡(镇)人民政府、街道办事处及有关部门要牢固树立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科学的发展观和正确的政绩观，统一思想，提高认识，高度重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视土地的保护和合理利用，加强对土地市场的建设和领导。按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照法律、法规、政策和市场经济规律，依法管好土地市场，充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分发挥土地资源效益。</w:t>
      </w:r>
    </w:p>
    <w:p>
      <w:pPr>
        <w:ind w:right="34" w:firstLine="670"/>
        <w:spacing w:before="250" w:line="358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国土资源管理部门是加强土地管理、查处违法违</w:t>
      </w:r>
      <w:r>
        <w:rPr>
          <w:rFonts w:ascii="FangSong" w:hAnsi="FangSong" w:eastAsia="FangSong" w:cs="FangSong"/>
          <w:sz w:val="32"/>
          <w:szCs w:val="32"/>
        </w:rPr>
        <w:t>规用地的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执法部门。要切实加大查处土地违法违规案件力度，重点查处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违反土地利用总体规划、突破用地计划、违法批地</w:t>
      </w:r>
      <w:r>
        <w:rPr>
          <w:rFonts w:ascii="FangSong" w:hAnsi="FangSong" w:eastAsia="FangSong" w:cs="FangSong"/>
          <w:sz w:val="32"/>
          <w:szCs w:val="32"/>
        </w:rPr>
        <w:t>用地的典型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案件。对重大违法违规案件要公开调查、公开结果，并</w:t>
      </w:r>
      <w:r>
        <w:rPr>
          <w:rFonts w:ascii="FangSong" w:hAnsi="FangSong" w:eastAsia="FangSong" w:cs="FangSong"/>
          <w:sz w:val="32"/>
          <w:szCs w:val="32"/>
        </w:rPr>
        <w:t>追究相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关人员责任。处理违法违规案件，要做到追究责任到位、处罚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到位。要认真履行执法监察职责，积极开展国土资源执法监察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动态巡查，严格执法，对有案不查、查处不力、徇私枉法的要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依照有关规定追究相关人员的责任。</w:t>
      </w:r>
    </w:p>
    <w:p>
      <w:pPr>
        <w:ind w:right="74" w:firstLine="670"/>
        <w:spacing w:before="246" w:line="36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土地行政主管部门与纪检监察、司法机关等有关部门要加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强联系和配合，明确职责，相互支持，形成合力，</w:t>
      </w:r>
      <w:r>
        <w:rPr>
          <w:rFonts w:ascii="FangSong" w:hAnsi="FangSong" w:eastAsia="FangSong" w:cs="FangSong"/>
          <w:sz w:val="32"/>
          <w:szCs w:val="32"/>
          <w:spacing w:val="-2"/>
        </w:rPr>
        <w:t>密切关注土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地市场建设的动态。对各种违法用地和违法批地行为进行严肃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查处，对构成犯罪的，由司法机关依法追究刑事责任，确</w:t>
      </w:r>
      <w:r>
        <w:rPr>
          <w:rFonts w:ascii="FangSong" w:hAnsi="FangSong" w:eastAsia="FangSong" w:cs="FangSong"/>
          <w:sz w:val="32"/>
          <w:szCs w:val="32"/>
          <w:spacing w:val="-1"/>
        </w:rPr>
        <w:t>保我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区土地管理工作走向规范化、法制化轨道。</w:t>
      </w:r>
    </w:p>
    <w:p>
      <w:pPr>
        <w:ind w:left="634"/>
        <w:spacing w:before="249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6"/>
        </w:rPr>
        <w:t>七、附则</w:t>
      </w:r>
    </w:p>
    <w:p>
      <w:pPr>
        <w:sectPr>
          <w:footerReference w:type="default" r:id="rId10"/>
          <w:pgSz w:w="12160" w:h="17020"/>
          <w:pgMar w:top="1265" w:right="1824" w:bottom="1355" w:left="1609" w:header="0" w:footer="1206" w:gutter="0"/>
        </w:sectPr>
        <w:rPr/>
      </w:pPr>
    </w:p>
    <w:p>
      <w:pPr>
        <w:ind w:left="609"/>
        <w:spacing w:before="61" w:line="612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  <w:position w:val="23"/>
        </w:rPr>
        <w:t>本意见自印发之日起施行。本意见执行过程中</w:t>
      </w:r>
      <w:r>
        <w:rPr>
          <w:rFonts w:ascii="FangSong" w:hAnsi="FangSong" w:eastAsia="FangSong" w:cs="FangSong"/>
          <w:sz w:val="30"/>
          <w:szCs w:val="30"/>
          <w:spacing w:val="18"/>
          <w:position w:val="23"/>
        </w:rPr>
        <w:t>若遇国家有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关政策调整则以国家有关政策为准。</w:t>
      </w:r>
    </w:p>
    <w:p>
      <w:pPr>
        <w:sectPr>
          <w:footerReference w:type="default" r:id="rId11"/>
          <w:pgSz w:w="12150" w:h="17010"/>
          <w:pgMar w:top="1356" w:right="1779" w:bottom="1310" w:left="1790" w:header="0" w:footer="1182" w:gutter="0"/>
        </w:sectPr>
        <w:rPr/>
      </w:pPr>
    </w:p>
    <w:p>
      <w:pPr>
        <w:rPr>
          <w:rFonts w:ascii="Arial"/>
          <w:sz w:val="21"/>
        </w:rPr>
      </w:pPr>
      <w:r/>
    </w:p>
    <w:sectPr>
      <w:headerReference w:type="default" r:id="rId12"/>
      <w:footerReference w:type="default" r:id="rId3"/>
      <w:pgSz w:w="11900" w:h="1684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"/>
      <w:spacing w:before="1" w:line="221" w:lineRule="auto"/>
      <w:jc w:val="right"/>
      <w:rPr>
        <w:rFonts w:ascii="FangSong" w:hAnsi="FangSong" w:eastAsia="FangSong" w:cs="FangSong"/>
        <w:sz w:val="33"/>
        <w:szCs w:val="33"/>
      </w:rPr>
    </w:pPr>
    <w:r>
      <w:rPr>
        <w:rFonts w:ascii="FangSong" w:hAnsi="FangSong" w:eastAsia="FangSong" w:cs="FangSong"/>
        <w:sz w:val="33"/>
        <w:szCs w:val="33"/>
        <w:spacing w:val="24"/>
      </w:rPr>
      <w:t>共印80份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5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1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82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2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9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</w:rPr>
      <w:t>3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9"/>
      <w:spacing w:before="1" w:line="182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4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9"/>
      <w:spacing w:line="181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5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0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6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9"/>
      <w:spacing w:line="181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</w:rPr>
      <w:t>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jpeg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header" Target="header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2023-05-09T17:45:55Z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2023-05-09T17:45:56</vt:filetime>
  </property>
  <property fmtid="{D5CDD505-2E9C-101B-9397-08002B2CF9AE}" pid="4" name="UsrData">
    <vt:lpwstr>645a16490d38b700154cae2b</vt:lpwstr>
  </property>
</Properties>
</file>